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C7C" w:rsidRPr="00C25557" w:rsidRDefault="00096C7C" w:rsidP="00096C7C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546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РАДІОЛОГІЧНЕ ЛІКУВАННЯ ТА СУПРОВІД ДОРОСЛИХ І ДІТЕЙ З ОНКОЛОГІЧНИМИ ЗАХВОРЮВАННЯМИ В АМБУЛАТОРНИХ ТА СТАЦІОНАРНИХ УМОВАХ</w:t>
      </w:r>
    </w:p>
    <w:p w:rsidR="00096C7C" w:rsidRPr="00C25557" w:rsidRDefault="00096C7C" w:rsidP="00096C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b/>
          <w:bCs/>
          <w:lang w:val="ru-RU"/>
        </w:rPr>
        <w:t xml:space="preserve">Обсяг медичних послуг, який надавач зобов’язується надавати за договором відповідно до медичних потреб пацієнта/пацієнтки (специфікація)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1. Консультування, амбулаторна та стаціонарна допомога пацієнтам з клінічно та морфологічно підтвердженим діагнозом злоякісного новоутворення.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2. Проведення необхідних лабораторних досліджень пацієнтам з клінічно та морфологічно підтвердженим діагнозом злоякісного новоутворення в амбулаторних та стаціонарних умовах, зокрема: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a</w:t>
      </w:r>
      <w:r w:rsidRPr="008546D6">
        <w:rPr>
          <w:lang w:val="ru-RU"/>
        </w:rPr>
        <w:t xml:space="preserve">. розгорнутий клінічний аналіз крові, включаючи диференційований підрахунок лейкоцитів (лейкоцитарна формула);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b</w:t>
      </w:r>
      <w:r w:rsidRPr="008546D6">
        <w:rPr>
          <w:lang w:val="ru-RU"/>
        </w:rPr>
        <w:t xml:space="preserve">. цитоморфологічне дослідження клітин крові;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c</w:t>
      </w:r>
      <w:r w:rsidRPr="008546D6">
        <w:rPr>
          <w:lang w:val="ru-RU"/>
        </w:rPr>
        <w:t xml:space="preserve">. визначення групи крові і резус фактору;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d</w:t>
      </w:r>
      <w:r w:rsidRPr="008546D6">
        <w:rPr>
          <w:lang w:val="ru-RU"/>
        </w:rPr>
        <w:t>. біохімічний аналіз крові (загальний білок, альфа-амілаза, аспартатамінотрансфераза (АсАТ), аланінамінотрансфераза (АлАТ), лактатдегідрогеназа, білірубін і його фракції (загальний, прямий, непрямий), креатинін, сечовина, сечова кислота, хлориди, калій, кальцій, натрій, лужна фосфатаза, С-реактивний білок (</w:t>
      </w:r>
      <w:r w:rsidRPr="00C25557">
        <w:t>CRP</w:t>
      </w:r>
      <w:r w:rsidRPr="008546D6">
        <w:rPr>
          <w:lang w:val="ru-RU"/>
        </w:rPr>
        <w:t xml:space="preserve">, кількісне визначення), прокальцитонін, кількісне визначення альбуміну в сироватці крові);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e</w:t>
      </w:r>
      <w:r w:rsidRPr="008546D6">
        <w:rPr>
          <w:lang w:val="ru-RU"/>
        </w:rPr>
        <w:t xml:space="preserve">. коагуляційний гемостаз (тромбіновий час, активований частковий (парціальний) тромбопластиновий час (АЧТЧ, АПТЧ), міжнародне нормалізоване відношення (МНВ), фібриноген);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f</w:t>
      </w:r>
      <w:r w:rsidRPr="008546D6">
        <w:rPr>
          <w:lang w:val="ru-RU"/>
        </w:rPr>
        <w:t xml:space="preserve">. визначення сироваткових концентрацій метотрексату в крові у випадку лікування дітей;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g</w:t>
      </w:r>
      <w:r w:rsidRPr="008546D6">
        <w:rPr>
          <w:lang w:val="ru-RU"/>
        </w:rPr>
        <w:t xml:space="preserve">. глюкоза в цільній крові або сироватці крові;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h</w:t>
      </w:r>
      <w:r w:rsidRPr="008546D6">
        <w:rPr>
          <w:lang w:val="ru-RU"/>
        </w:rPr>
        <w:t xml:space="preserve">. тести на тропонін;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i</w:t>
      </w:r>
      <w:r w:rsidRPr="008546D6">
        <w:rPr>
          <w:lang w:val="ru-RU"/>
        </w:rPr>
        <w:t xml:space="preserve">. дослідження спинномозкової рідини;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j</w:t>
      </w:r>
      <w:r w:rsidRPr="008546D6">
        <w:rPr>
          <w:lang w:val="ru-RU"/>
        </w:rPr>
        <w:t xml:space="preserve">. загальний аналіз сечі;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k</w:t>
      </w:r>
      <w:r w:rsidRPr="008546D6">
        <w:rPr>
          <w:lang w:val="ru-RU"/>
        </w:rPr>
        <w:t xml:space="preserve">. дослідження на онкологічні маркери;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l</w:t>
      </w:r>
      <w:r w:rsidRPr="008546D6">
        <w:rPr>
          <w:lang w:val="ru-RU"/>
        </w:rPr>
        <w:t xml:space="preserve">. патоморфологічні дослідження (гістологічне/цитологічне, імуногістохімічне дослідження біоптатів пухлини та трепанбіоптатів кісткового мозку);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m</w:t>
      </w:r>
      <w:r w:rsidRPr="008546D6">
        <w:rPr>
          <w:lang w:val="ru-RU"/>
        </w:rPr>
        <w:t>. молекулярно-генетичні дослідження (</w:t>
      </w:r>
      <w:r w:rsidRPr="00C25557">
        <w:t>BRCA</w:t>
      </w:r>
      <w:r w:rsidRPr="008546D6">
        <w:rPr>
          <w:lang w:val="ru-RU"/>
        </w:rPr>
        <w:t xml:space="preserve"> 1, </w:t>
      </w:r>
      <w:r w:rsidRPr="00C25557">
        <w:t>BRCA</w:t>
      </w:r>
      <w:r w:rsidRPr="008546D6">
        <w:rPr>
          <w:lang w:val="ru-RU"/>
        </w:rPr>
        <w:t xml:space="preserve"> 2, </w:t>
      </w:r>
      <w:r w:rsidRPr="00C25557">
        <w:t>KRAS</w:t>
      </w:r>
      <w:r w:rsidRPr="008546D6">
        <w:rPr>
          <w:lang w:val="ru-RU"/>
        </w:rPr>
        <w:t xml:space="preserve">, </w:t>
      </w:r>
      <w:r w:rsidRPr="00C25557">
        <w:t>NRAS</w:t>
      </w:r>
      <w:r w:rsidRPr="008546D6">
        <w:rPr>
          <w:lang w:val="ru-RU"/>
        </w:rPr>
        <w:t xml:space="preserve">, </w:t>
      </w:r>
      <w:r w:rsidRPr="00C25557">
        <w:t>EGFR</w:t>
      </w:r>
      <w:r w:rsidRPr="008546D6">
        <w:rPr>
          <w:lang w:val="ru-RU"/>
        </w:rPr>
        <w:t xml:space="preserve">, </w:t>
      </w:r>
      <w:r w:rsidRPr="00C25557">
        <w:t>BRAF</w:t>
      </w:r>
      <w:r w:rsidRPr="008546D6">
        <w:rPr>
          <w:lang w:val="ru-RU"/>
        </w:rPr>
        <w:t xml:space="preserve">, </w:t>
      </w:r>
      <w:r w:rsidRPr="00C25557">
        <w:t>ALK</w:t>
      </w:r>
      <w:r w:rsidRPr="008546D6">
        <w:rPr>
          <w:lang w:val="ru-RU"/>
        </w:rPr>
        <w:t xml:space="preserve">, </w:t>
      </w:r>
      <w:r w:rsidRPr="00C25557">
        <w:t>HER</w:t>
      </w:r>
      <w:r w:rsidRPr="008546D6">
        <w:rPr>
          <w:lang w:val="ru-RU"/>
        </w:rPr>
        <w:t xml:space="preserve">2, тест на </w:t>
      </w:r>
      <w:r w:rsidRPr="00C25557">
        <w:t>MMR</w:t>
      </w:r>
      <w:r w:rsidRPr="008546D6">
        <w:rPr>
          <w:lang w:val="ru-RU"/>
        </w:rPr>
        <w:t>\</w:t>
      </w:r>
      <w:r w:rsidRPr="00C25557">
        <w:t>MSI</w:t>
      </w:r>
      <w:r w:rsidRPr="008546D6">
        <w:rPr>
          <w:lang w:val="ru-RU"/>
        </w:rPr>
        <w:t xml:space="preserve">, експресія </w:t>
      </w:r>
      <w:r w:rsidRPr="00C25557">
        <w:t>PD</w:t>
      </w:r>
      <w:r w:rsidRPr="008546D6">
        <w:rPr>
          <w:lang w:val="ru-RU"/>
        </w:rPr>
        <w:t>-</w:t>
      </w:r>
      <w:r w:rsidRPr="00C25557">
        <w:t>L</w:t>
      </w:r>
      <w:r w:rsidRPr="008546D6">
        <w:rPr>
          <w:lang w:val="ru-RU"/>
        </w:rPr>
        <w:t xml:space="preserve">1, </w:t>
      </w:r>
      <w:r w:rsidRPr="00C25557">
        <w:t>c</w:t>
      </w:r>
      <w:r w:rsidRPr="008546D6">
        <w:rPr>
          <w:lang w:val="ru-RU"/>
        </w:rPr>
        <w:t>-</w:t>
      </w:r>
      <w:r w:rsidRPr="00C25557">
        <w:t>kit</w:t>
      </w:r>
      <w:r w:rsidRPr="008546D6">
        <w:rPr>
          <w:lang w:val="ru-RU"/>
        </w:rPr>
        <w:t xml:space="preserve">, </w:t>
      </w:r>
      <w:r w:rsidRPr="00C25557">
        <w:t>PDGFRA</w:t>
      </w:r>
      <w:r w:rsidRPr="008546D6">
        <w:rPr>
          <w:lang w:val="ru-RU"/>
        </w:rPr>
        <w:t xml:space="preserve">), крім методів секвенування наступного покоління;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n</w:t>
      </w:r>
      <w:r w:rsidRPr="008546D6">
        <w:rPr>
          <w:lang w:val="ru-RU"/>
        </w:rPr>
        <w:t xml:space="preserve">. бактеріологічні дослідження;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o</w:t>
      </w:r>
      <w:r w:rsidRPr="008546D6">
        <w:rPr>
          <w:lang w:val="ru-RU"/>
        </w:rPr>
        <w:t xml:space="preserve">. інші лабораторні дослідження відповідно до потреб пацієнтів.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3. Проведення цитологічного дослідження матеріалу, отриманого під час опортуністичного скринінгу та у пацієнтів з підозрою на рецидив новоутворення.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4. Проведення необхідних інструментальних досліджень в амбулаторних та стаціонарних умовах пацієнтам з клінічно та морфологічно підтвердженим онкологічним діагнозом, зокрема: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a</w:t>
      </w:r>
      <w:r w:rsidRPr="008546D6">
        <w:rPr>
          <w:lang w:val="ru-RU"/>
        </w:rPr>
        <w:t xml:space="preserve">. магнітно-резонансна томографія (в тому числі з внутрішньовенним контрастуванням);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b</w:t>
      </w:r>
      <w:r w:rsidRPr="008546D6">
        <w:rPr>
          <w:lang w:val="ru-RU"/>
        </w:rPr>
        <w:t xml:space="preserve">. рентгенологічні дослідження, в тому числі комп’ютерна томографія (в тому числі з внутрішньовенним контрастуванням);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c</w:t>
      </w:r>
      <w:r w:rsidRPr="008546D6">
        <w:rPr>
          <w:lang w:val="ru-RU"/>
        </w:rPr>
        <w:t xml:space="preserve">. ендоскопічні дослідження;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d</w:t>
      </w:r>
      <w:r w:rsidRPr="008546D6">
        <w:rPr>
          <w:lang w:val="ru-RU"/>
        </w:rPr>
        <w:t xml:space="preserve">. ультразвукові дослідження, в тому числі із проведенням доплерографії;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e</w:t>
      </w:r>
      <w:r w:rsidRPr="008546D6">
        <w:rPr>
          <w:lang w:val="ru-RU"/>
        </w:rPr>
        <w:t xml:space="preserve">. сцинтиграфія (в тому числі з внутрішньовенним контрастуванням);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C25557">
        <w:t>f</w:t>
      </w:r>
      <w:r w:rsidRPr="008546D6">
        <w:rPr>
          <w:lang w:val="ru-RU"/>
        </w:rPr>
        <w:t xml:space="preserve">. інші інструментальні дослідження відповідно до потреб пацієнтів.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5. Цілодобове лікарське спостереження та медсестринський догляд за пацієнтами в стаціонарних умовах з можливістю проведення цілодобового моніторингу вітальних функцій (ЧСС, АТ, </w:t>
      </w:r>
      <w:r w:rsidRPr="00C25557">
        <w:t>SpO</w:t>
      </w:r>
      <w:r w:rsidRPr="008546D6">
        <w:rPr>
          <w:lang w:val="ru-RU"/>
        </w:rPr>
        <w:t xml:space="preserve">2, ЕКГ-моніторинг).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lastRenderedPageBreak/>
        <w:t xml:space="preserve">6. Забезпечення лікарськими засобами, постачання яких здійснюється шляхом централізованих закупівель МОЗ, за рахунок інших програм центрального та місцевого бюджетів, а також лікарськими засобами, визначеними Національним переліком основних лікарських засобів, необхідними медичними виробами та витратними матеріалами відповідно до галузевих стандартів у сфері охорони здоров’я та медико-технологічних документів.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7. Проведення супровідної медикаментозної терапії.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8. Планування променевої терапії за допомогою рентгенівських симуляторів та/або комп’ютерних симуляторів та програмного забезпечення, ведення обліку доз іонізуючого опромінення, отриманих пацієнтом/пацієнткою.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9. Проведення променевої терапії (дистанційна, контактна) та/або лікування методами ядерної медицини в амбулаторних та стаціонарних умовах.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10. Забезпечення медичними виробами для проведення радіотерапії, витратними матеріалами та засобами для фіксації пацієнта/пацієнтки згідно з вимогами до обладнання для проведення променевої терапії в амбулаторних та стаціонарних умовах.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11. Надання кисневої підтримки.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12. Надання медичної допомоги в умовах інтенсивної терапії.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13. Своєчасне місцеве та загальне знеболення, при потребі медикаментозний сон на всіх етапах діагностики та лікування при наданні амбулаторної або стаціонарної медичної допомоги: обов’язкове анестезіологічне забезпечення під час виконання всіх болісних інвазивних діагностичних процедур, можливість анестезіологічного забезпечення при проведенні променевої терапії дітям, цілодобовий доступ до ненаркотичних та наркотичних знеболювальних засобів.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14. Проведення консультацій лікарями інших спеціальностей пацієнтів з підтвердженим онкологічним діагнозом в амбулаторних та стаціонарних умовах.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15. Оцінка психоемоційного стану пацієнта/пацієнтки та надання психологічної допомоги в амбулаторних та стаціонарних умовах.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16. Направлення пацієнтів для отримання вторинної (спеціалізованої), третинної (високоспеціалізованої) медичної допомоги за іншими напрямами медичної допомоги в інші заклади/підрозділи. Виклик спеціалістів у лікувальний заклад, в якому пацієнт/пацієнтка проходить лікування, у разі неможливості його/її транспортування.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17. Надання послуг з реабілітації у сфері охорони здоров’я за медичними показами під час отримання лікування та направлення пацієнтів для отримання послуг з реабілітації у сфері охорони здоров’я або послуг з паліативної медичної допомоги.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18. Інформування пацієнта/пацієнтки перед початком лікування про можливе порушення репродуктивної функції та направлення за бажанням пацієнта/пацієнтки на консультацію репродуктолога у відповідний медичний заклад.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19. Забезпечення харчування в умовах стаціонару </w:t>
      </w:r>
    </w:p>
    <w:p w:rsidR="00096C7C" w:rsidRPr="008546D6" w:rsidRDefault="00096C7C" w:rsidP="00096C7C">
      <w:pPr>
        <w:pStyle w:val="Default"/>
        <w:rPr>
          <w:lang w:val="ru-RU"/>
        </w:rPr>
      </w:pP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i/>
          <w:iCs/>
          <w:lang w:val="ru-RU"/>
        </w:rPr>
        <w:t xml:space="preserve">Додатковий обсяг медичних послуг, який надавач зобов’язується надавати за договором відповідно до медичних потреб пацієнта/пацієнтки (специфікація) за умови відповідності додатковим умовам закупівлі: </w:t>
      </w:r>
    </w:p>
    <w:p w:rsidR="00096C7C" w:rsidRPr="008546D6" w:rsidRDefault="00096C7C" w:rsidP="00096C7C">
      <w:pPr>
        <w:pStyle w:val="Default"/>
        <w:rPr>
          <w:lang w:val="ru-RU"/>
        </w:rPr>
      </w:pPr>
      <w:r w:rsidRPr="008546D6">
        <w:rPr>
          <w:lang w:val="ru-RU"/>
        </w:rPr>
        <w:t xml:space="preserve">1. Проведення променевої терапії із застосуванням лінійного прискорювача та/або гамма-ножа, та/або кібер-ножа. </w:t>
      </w:r>
    </w:p>
    <w:p w:rsidR="006731F7" w:rsidRPr="00096C7C" w:rsidRDefault="006731F7" w:rsidP="00096C7C">
      <w:bookmarkStart w:id="0" w:name="_GoBack"/>
      <w:bookmarkEnd w:id="0"/>
    </w:p>
    <w:sectPr w:rsidR="006731F7" w:rsidRPr="00096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57989"/>
    <w:multiLevelType w:val="multilevel"/>
    <w:tmpl w:val="9AAAD6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640C8D"/>
    <w:multiLevelType w:val="multilevel"/>
    <w:tmpl w:val="56160B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5B63C07"/>
    <w:multiLevelType w:val="multilevel"/>
    <w:tmpl w:val="49FA7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6C45B0"/>
    <w:multiLevelType w:val="multilevel"/>
    <w:tmpl w:val="531E0D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8834136"/>
    <w:multiLevelType w:val="multilevel"/>
    <w:tmpl w:val="D04C99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AF33C1F"/>
    <w:multiLevelType w:val="multilevel"/>
    <w:tmpl w:val="3EC0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835DB"/>
    <w:multiLevelType w:val="multilevel"/>
    <w:tmpl w:val="A96297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7BE4E0B"/>
    <w:multiLevelType w:val="multilevel"/>
    <w:tmpl w:val="6C2AE0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F005C3B"/>
    <w:multiLevelType w:val="multilevel"/>
    <w:tmpl w:val="F5EAC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FE351B0"/>
    <w:multiLevelType w:val="multilevel"/>
    <w:tmpl w:val="4AFC34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54A643F"/>
    <w:multiLevelType w:val="multilevel"/>
    <w:tmpl w:val="1A36F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7630E2"/>
    <w:multiLevelType w:val="multilevel"/>
    <w:tmpl w:val="0F8E3A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48F643E4"/>
    <w:multiLevelType w:val="multilevel"/>
    <w:tmpl w:val="A5509B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92F88"/>
    <w:multiLevelType w:val="multilevel"/>
    <w:tmpl w:val="451A8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E321099"/>
    <w:multiLevelType w:val="multilevel"/>
    <w:tmpl w:val="DF961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AD25AC"/>
    <w:multiLevelType w:val="multilevel"/>
    <w:tmpl w:val="E7CE5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3C225DB"/>
    <w:multiLevelType w:val="multilevel"/>
    <w:tmpl w:val="D3BEBB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EE293D"/>
    <w:multiLevelType w:val="multilevel"/>
    <w:tmpl w:val="6EB0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8"/>
  </w:num>
  <w:num w:numId="3">
    <w:abstractNumId w:val="10"/>
  </w:num>
  <w:num w:numId="4">
    <w:abstractNumId w:val="21"/>
  </w:num>
  <w:num w:numId="5">
    <w:abstractNumId w:val="4"/>
  </w:num>
  <w:num w:numId="6">
    <w:abstractNumId w:val="15"/>
  </w:num>
  <w:num w:numId="7">
    <w:abstractNumId w:val="6"/>
  </w:num>
  <w:num w:numId="8">
    <w:abstractNumId w:val="11"/>
  </w:num>
  <w:num w:numId="9">
    <w:abstractNumId w:val="0"/>
  </w:num>
  <w:num w:numId="10">
    <w:abstractNumId w:val="1"/>
  </w:num>
  <w:num w:numId="11">
    <w:abstractNumId w:val="3"/>
  </w:num>
  <w:num w:numId="12">
    <w:abstractNumId w:val="13"/>
  </w:num>
  <w:num w:numId="13">
    <w:abstractNumId w:val="8"/>
  </w:num>
  <w:num w:numId="14">
    <w:abstractNumId w:val="12"/>
  </w:num>
  <w:num w:numId="15">
    <w:abstractNumId w:val="12"/>
    <w:lvlOverride w:ilvl="1">
      <w:lvl w:ilvl="1">
        <w:numFmt w:val="lowerLetter"/>
        <w:lvlText w:val="%2."/>
        <w:lvlJc w:val="left"/>
      </w:lvl>
    </w:lvlOverride>
  </w:num>
  <w:num w:numId="16">
    <w:abstractNumId w:val="12"/>
    <w:lvlOverride w:ilvl="1">
      <w:lvl w:ilvl="1">
        <w:numFmt w:val="lowerLetter"/>
        <w:lvlText w:val="%2."/>
        <w:lvlJc w:val="left"/>
      </w:lvl>
    </w:lvlOverride>
  </w:num>
  <w:num w:numId="17">
    <w:abstractNumId w:val="2"/>
  </w:num>
  <w:num w:numId="18">
    <w:abstractNumId w:val="16"/>
  </w:num>
  <w:num w:numId="19">
    <w:abstractNumId w:val="9"/>
  </w:num>
  <w:num w:numId="20">
    <w:abstractNumId w:val="5"/>
    <w:lvlOverride w:ilvl="0">
      <w:lvl w:ilvl="0">
        <w:numFmt w:val="lowerLetter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14"/>
    <w:lvlOverride w:ilvl="0">
      <w:lvl w:ilvl="0">
        <w:numFmt w:val="decimal"/>
        <w:lvlText w:val="%1."/>
        <w:lvlJc w:val="left"/>
      </w:lvl>
    </w:lvlOverride>
  </w:num>
  <w:num w:numId="23">
    <w:abstractNumId w:val="17"/>
    <w:lvlOverride w:ilvl="0">
      <w:lvl w:ilvl="0">
        <w:numFmt w:val="lowerLetter"/>
        <w:lvlText w:val="%1."/>
        <w:lvlJc w:val="left"/>
      </w:lvl>
    </w:lvlOverride>
  </w:num>
  <w:num w:numId="24">
    <w:abstractNumId w:val="19"/>
    <w:lvlOverride w:ilvl="0">
      <w:lvl w:ilvl="0">
        <w:numFmt w:val="decimal"/>
        <w:lvlText w:val="%1."/>
        <w:lvlJc w:val="left"/>
      </w:lvl>
    </w:lvlOverride>
  </w:num>
  <w:num w:numId="25">
    <w:abstractNumId w:val="19"/>
    <w:lvlOverride w:ilvl="0">
      <w:lvl w:ilvl="0">
        <w:numFmt w:val="decimal"/>
        <w:lvlText w:val="%1."/>
        <w:lvlJc w:val="left"/>
      </w:lvl>
    </w:lvlOverride>
  </w:num>
  <w:num w:numId="26">
    <w:abstractNumId w:val="19"/>
    <w:lvlOverride w:ilvl="0">
      <w:lvl w:ilvl="0">
        <w:numFmt w:val="decimal"/>
        <w:lvlText w:val="%1."/>
        <w:lvlJc w:val="left"/>
      </w:lvl>
    </w:lvlOverride>
  </w:num>
  <w:num w:numId="27">
    <w:abstractNumId w:val="19"/>
    <w:lvlOverride w:ilvl="0">
      <w:lvl w:ilvl="0">
        <w:numFmt w:val="decimal"/>
        <w:lvlText w:val="%1."/>
        <w:lvlJc w:val="left"/>
      </w:lvl>
    </w:lvlOverride>
  </w:num>
  <w:num w:numId="28">
    <w:abstractNumId w:val="19"/>
    <w:lvlOverride w:ilvl="0">
      <w:lvl w:ilvl="0">
        <w:numFmt w:val="decimal"/>
        <w:lvlText w:val="%1."/>
        <w:lvlJc w:val="left"/>
      </w:lvl>
    </w:lvlOverride>
  </w:num>
  <w:num w:numId="29">
    <w:abstractNumId w:val="19"/>
    <w:lvlOverride w:ilvl="0">
      <w:lvl w:ilvl="0">
        <w:numFmt w:val="decimal"/>
        <w:lvlText w:val="%1."/>
        <w:lvlJc w:val="left"/>
      </w:lvl>
    </w:lvlOverride>
  </w:num>
  <w:num w:numId="30">
    <w:abstractNumId w:val="19"/>
    <w:lvlOverride w:ilvl="0">
      <w:lvl w:ilvl="0">
        <w:numFmt w:val="decimal"/>
        <w:lvlText w:val="%1."/>
        <w:lvlJc w:val="left"/>
      </w:lvl>
    </w:lvlOverride>
  </w:num>
  <w:num w:numId="31">
    <w:abstractNumId w:val="19"/>
    <w:lvlOverride w:ilvl="0">
      <w:lvl w:ilvl="0">
        <w:numFmt w:val="decimal"/>
        <w:lvlText w:val="%1."/>
        <w:lvlJc w:val="left"/>
      </w:lvl>
    </w:lvlOverride>
  </w:num>
  <w:num w:numId="32">
    <w:abstractNumId w:val="19"/>
    <w:lvlOverride w:ilvl="0">
      <w:lvl w:ilvl="0">
        <w:numFmt w:val="decimal"/>
        <w:lvlText w:val="%1."/>
        <w:lvlJc w:val="left"/>
      </w:lvl>
    </w:lvlOverride>
  </w:num>
  <w:num w:numId="33">
    <w:abstractNumId w:val="19"/>
    <w:lvlOverride w:ilvl="0">
      <w:lvl w:ilvl="0">
        <w:numFmt w:val="decimal"/>
        <w:lvlText w:val="%1."/>
        <w:lvlJc w:val="left"/>
      </w:lvl>
    </w:lvlOverride>
  </w:num>
  <w:num w:numId="34">
    <w:abstractNumId w:val="19"/>
    <w:lvlOverride w:ilvl="0">
      <w:lvl w:ilvl="0">
        <w:numFmt w:val="decimal"/>
        <w:lvlText w:val="%1."/>
        <w:lvlJc w:val="left"/>
      </w:lvl>
    </w:lvlOverride>
  </w:num>
  <w:num w:numId="35">
    <w:abstractNumId w:val="19"/>
    <w:lvlOverride w:ilvl="0">
      <w:lvl w:ilvl="0">
        <w:numFmt w:val="decimal"/>
        <w:lvlText w:val="%1."/>
        <w:lvlJc w:val="left"/>
      </w:lvl>
    </w:lvlOverride>
  </w:num>
  <w:num w:numId="36">
    <w:abstractNumId w:val="19"/>
    <w:lvlOverride w:ilvl="0">
      <w:lvl w:ilvl="0">
        <w:numFmt w:val="decimal"/>
        <w:lvlText w:val="%1."/>
        <w:lvlJc w:val="left"/>
      </w:lvl>
    </w:lvlOverride>
  </w:num>
  <w:num w:numId="37">
    <w:abstractNumId w:val="19"/>
    <w:lvlOverride w:ilvl="0">
      <w:lvl w:ilvl="0">
        <w:numFmt w:val="decimal"/>
        <w:lvlText w:val="%1."/>
        <w:lvlJc w:val="left"/>
      </w:lvl>
    </w:lvlOverride>
  </w:num>
  <w:num w:numId="38">
    <w:abstractNumId w:val="19"/>
    <w:lvlOverride w:ilvl="0">
      <w:lvl w:ilvl="0">
        <w:numFmt w:val="decimal"/>
        <w:lvlText w:val="%1."/>
        <w:lvlJc w:val="left"/>
      </w:lvl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096C7C"/>
    <w:rsid w:val="002018F8"/>
    <w:rsid w:val="0022779D"/>
    <w:rsid w:val="002E4074"/>
    <w:rsid w:val="006731F7"/>
    <w:rsid w:val="006C43E2"/>
    <w:rsid w:val="006F68FB"/>
    <w:rsid w:val="00864951"/>
    <w:rsid w:val="00895034"/>
    <w:rsid w:val="008D2A75"/>
    <w:rsid w:val="00901506"/>
    <w:rsid w:val="00993769"/>
    <w:rsid w:val="009C7708"/>
    <w:rsid w:val="009F4D70"/>
    <w:rsid w:val="00B074D4"/>
    <w:rsid w:val="00B86342"/>
    <w:rsid w:val="00C47F4E"/>
    <w:rsid w:val="00C5523C"/>
    <w:rsid w:val="00CB22AF"/>
    <w:rsid w:val="00CE0B2A"/>
    <w:rsid w:val="00DC35BC"/>
    <w:rsid w:val="00EB78F9"/>
    <w:rsid w:val="00EB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styleId="a3">
    <w:name w:val="Normal (Web)"/>
    <w:basedOn w:val="a"/>
    <w:uiPriority w:val="99"/>
    <w:semiHidden/>
    <w:unhideWhenUsed/>
    <w:rsid w:val="00EB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096C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2021-07-30T14:59:00Z</dcterms:created>
  <dcterms:modified xsi:type="dcterms:W3CDTF">2022-02-07T09:17:00Z</dcterms:modified>
</cp:coreProperties>
</file>