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4E72" w:rsidRPr="00C25557" w:rsidRDefault="00D24E72" w:rsidP="00D24E72">
      <w:pPr>
        <w:spacing w:line="240" w:lineRule="auto"/>
        <w:ind w:left="360" w:hanging="36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C25557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СТАЦІОНАРНА МЕДИЧНА ДОПОМОГА ПАЦІЄНТАМ З ГОСТРОЮ РЕСПІРАТОРНОЮ ХВОРОБОЮ COVID-19, СПРИЧИНЕНОЮ КОРОНАВІРУСОМ SARS-COV-2</w:t>
      </w:r>
    </w:p>
    <w:p w:rsidR="00D24E72" w:rsidRPr="00C25557" w:rsidRDefault="00D24E72" w:rsidP="00D24E7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D24E72" w:rsidRPr="00C25557" w:rsidRDefault="00D24E72" w:rsidP="00D24E72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25557">
        <w:rPr>
          <w:rFonts w:ascii="Times New Roman" w:eastAsia="Times New Roman" w:hAnsi="Times New Roman" w:cs="Times New Roman"/>
          <w:b/>
          <w:sz w:val="24"/>
          <w:szCs w:val="24"/>
        </w:rPr>
        <w:t>Обсяг медичних послуг, який надавач зобов’язується надавати за договором відповідно до медичних потреб пацієнта/пацієнтки (специфікація)</w:t>
      </w:r>
    </w:p>
    <w:p w:rsidR="00D24E72" w:rsidRPr="00C25557" w:rsidRDefault="00D24E72" w:rsidP="00D24E72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24E72" w:rsidRPr="00C25557" w:rsidRDefault="00D24E72" w:rsidP="00D24E72">
      <w:pPr>
        <w:pStyle w:val="a3"/>
        <w:numPr>
          <w:ilvl w:val="0"/>
          <w:numId w:val="28"/>
        </w:numPr>
        <w:shd w:val="clear" w:color="auto" w:fill="FFFFFF"/>
        <w:spacing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C25557">
        <w:rPr>
          <w:rFonts w:ascii="Times New Roman" w:eastAsia="Times New Roman" w:hAnsi="Times New Roman" w:cs="Times New Roman"/>
          <w:sz w:val="24"/>
          <w:szCs w:val="24"/>
          <w:highlight w:val="white"/>
        </w:rPr>
        <w:t>Забезпечення первинного огляду пацієнта/пацієнтки з визначенням його/її маршрутизації.</w:t>
      </w:r>
    </w:p>
    <w:p w:rsidR="00D24E72" w:rsidRPr="00C25557" w:rsidRDefault="00D24E72" w:rsidP="00D24E72">
      <w:pPr>
        <w:pStyle w:val="a3"/>
        <w:numPr>
          <w:ilvl w:val="0"/>
          <w:numId w:val="28"/>
        </w:numPr>
        <w:shd w:val="clear" w:color="auto" w:fill="FFFFFF"/>
        <w:spacing w:line="240" w:lineRule="auto"/>
        <w:ind w:left="284" w:right="10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C25557">
        <w:rPr>
          <w:rFonts w:ascii="Times New Roman" w:eastAsia="Times New Roman" w:hAnsi="Times New Roman" w:cs="Times New Roman"/>
          <w:sz w:val="24"/>
          <w:szCs w:val="24"/>
          <w:highlight w:val="white"/>
        </w:rPr>
        <w:t>Проведення тестування на SARS-CoV-2 методом полімеразної ланцюгової реакції (ПЛР) у пацієнта/пацієнтки з підозрою або встановленим захворюванням на коронавірусну хворобу</w:t>
      </w:r>
      <w:r w:rsidRPr="00C25557">
        <w:rPr>
          <w:rFonts w:ascii="Times New Roman" w:eastAsia="Times New Roman" w:hAnsi="Times New Roman" w:cs="Times New Roman"/>
          <w:sz w:val="24"/>
          <w:szCs w:val="24"/>
        </w:rPr>
        <w:t xml:space="preserve"> (COVID-19) відповідно до наказів МОЗ України у закладі або на умовах договору підряду</w:t>
      </w:r>
      <w:r w:rsidRPr="00C25557"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</w:p>
    <w:p w:rsidR="00D24E72" w:rsidRPr="00C25557" w:rsidRDefault="00D24E72" w:rsidP="00D24E72">
      <w:pPr>
        <w:pStyle w:val="a3"/>
        <w:numPr>
          <w:ilvl w:val="0"/>
          <w:numId w:val="28"/>
        </w:numPr>
        <w:shd w:val="clear" w:color="auto" w:fill="FFFFFF"/>
        <w:spacing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C25557">
        <w:rPr>
          <w:rFonts w:ascii="Times New Roman" w:eastAsia="Times New Roman" w:hAnsi="Times New Roman" w:cs="Times New Roman"/>
          <w:sz w:val="24"/>
          <w:szCs w:val="24"/>
          <w:highlight w:val="white"/>
        </w:rPr>
        <w:t>Проведення необхідних лабораторних досліджень, зокрема:</w:t>
      </w:r>
    </w:p>
    <w:p w:rsidR="00D24E72" w:rsidRPr="00C25557" w:rsidRDefault="00D24E72" w:rsidP="00D24E72">
      <w:pPr>
        <w:pStyle w:val="a3"/>
        <w:numPr>
          <w:ilvl w:val="1"/>
          <w:numId w:val="29"/>
        </w:numPr>
        <w:shd w:val="clear" w:color="auto" w:fill="FFFFFF"/>
        <w:spacing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5557">
        <w:rPr>
          <w:rFonts w:ascii="Times New Roman" w:eastAsia="Times New Roman" w:hAnsi="Times New Roman" w:cs="Times New Roman"/>
          <w:sz w:val="24"/>
          <w:szCs w:val="24"/>
        </w:rPr>
        <w:t>розгорнутий клінічний аналіз крові;</w:t>
      </w:r>
    </w:p>
    <w:p w:rsidR="00D24E72" w:rsidRPr="00C25557" w:rsidRDefault="00D24E72" w:rsidP="00D24E72">
      <w:pPr>
        <w:pStyle w:val="a3"/>
        <w:numPr>
          <w:ilvl w:val="1"/>
          <w:numId w:val="29"/>
        </w:numPr>
        <w:shd w:val="clear" w:color="auto" w:fill="FFFFFF"/>
        <w:spacing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5557">
        <w:rPr>
          <w:rFonts w:ascii="Times New Roman" w:eastAsia="Times New Roman" w:hAnsi="Times New Roman" w:cs="Times New Roman"/>
          <w:sz w:val="24"/>
          <w:szCs w:val="24"/>
        </w:rPr>
        <w:t>визначення групи крові і резус фактору;</w:t>
      </w:r>
    </w:p>
    <w:p w:rsidR="00D24E72" w:rsidRPr="00C25557" w:rsidRDefault="00D24E72" w:rsidP="00D24E72">
      <w:pPr>
        <w:pStyle w:val="a3"/>
        <w:numPr>
          <w:ilvl w:val="1"/>
          <w:numId w:val="29"/>
        </w:numPr>
        <w:shd w:val="clear" w:color="auto" w:fill="FFFFFF"/>
        <w:spacing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5557">
        <w:rPr>
          <w:rFonts w:ascii="Times New Roman" w:eastAsia="Times New Roman" w:hAnsi="Times New Roman" w:cs="Times New Roman"/>
          <w:sz w:val="24"/>
          <w:szCs w:val="24"/>
        </w:rPr>
        <w:t>біохімічний аналіз крові (загальний білок, С-реактивний білок, альфа-амілаза, аспартатамінотрансфераза (АсАТ), аланінамінотрансфераза (АлАТ), білірубін і його фракції (загальний, прямий, непрямий), креатинін, сечовина, сечова кислота, альбумін, лактат, електроліти, тропонін, феритин);</w:t>
      </w:r>
    </w:p>
    <w:p w:rsidR="00D24E72" w:rsidRPr="00C25557" w:rsidRDefault="00D24E72" w:rsidP="00D24E72">
      <w:pPr>
        <w:pStyle w:val="a3"/>
        <w:numPr>
          <w:ilvl w:val="1"/>
          <w:numId w:val="29"/>
        </w:numPr>
        <w:shd w:val="clear" w:color="auto" w:fill="FFFFFF"/>
        <w:spacing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5557">
        <w:rPr>
          <w:rFonts w:ascii="Times New Roman" w:eastAsia="Times New Roman" w:hAnsi="Times New Roman" w:cs="Times New Roman"/>
          <w:sz w:val="24"/>
          <w:szCs w:val="24"/>
        </w:rPr>
        <w:t>коагуляційний гемостаз (тромбіновий час, активований частковий (парціальний) тромбопластиновий час (АЧТЧ, АПТЧ), міжнародне нормалізоване відношення (МНВ), D-дімер);</w:t>
      </w:r>
    </w:p>
    <w:p w:rsidR="00D24E72" w:rsidRPr="00C25557" w:rsidRDefault="00D24E72" w:rsidP="00D24E72">
      <w:pPr>
        <w:pStyle w:val="a3"/>
        <w:numPr>
          <w:ilvl w:val="1"/>
          <w:numId w:val="29"/>
        </w:numPr>
        <w:shd w:val="clear" w:color="auto" w:fill="FFFFFF"/>
        <w:spacing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5557">
        <w:rPr>
          <w:rFonts w:ascii="Times New Roman" w:eastAsia="Times New Roman" w:hAnsi="Times New Roman" w:cs="Times New Roman"/>
          <w:sz w:val="24"/>
          <w:szCs w:val="24"/>
        </w:rPr>
        <w:t>глюкоза в цільній крові або сироватці крові;</w:t>
      </w:r>
    </w:p>
    <w:p w:rsidR="00D24E72" w:rsidRPr="00C25557" w:rsidRDefault="00D24E72" w:rsidP="00D24E72">
      <w:pPr>
        <w:pStyle w:val="a3"/>
        <w:numPr>
          <w:ilvl w:val="1"/>
          <w:numId w:val="29"/>
        </w:numPr>
        <w:shd w:val="clear" w:color="auto" w:fill="FFFFFF"/>
        <w:spacing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5557">
        <w:rPr>
          <w:rFonts w:ascii="Times New Roman" w:eastAsia="Times New Roman" w:hAnsi="Times New Roman" w:cs="Times New Roman"/>
          <w:sz w:val="24"/>
          <w:szCs w:val="24"/>
        </w:rPr>
        <w:t>аналіз сечі загальний;</w:t>
      </w:r>
    </w:p>
    <w:p w:rsidR="00D24E72" w:rsidRPr="00C25557" w:rsidRDefault="00D24E72" w:rsidP="00D24E72">
      <w:pPr>
        <w:pStyle w:val="a3"/>
        <w:numPr>
          <w:ilvl w:val="1"/>
          <w:numId w:val="29"/>
        </w:numPr>
        <w:shd w:val="clear" w:color="auto" w:fill="FFFFFF"/>
        <w:spacing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5557">
        <w:rPr>
          <w:rFonts w:ascii="Times New Roman" w:eastAsia="Times New Roman" w:hAnsi="Times New Roman" w:cs="Times New Roman"/>
          <w:sz w:val="24"/>
          <w:szCs w:val="24"/>
        </w:rPr>
        <w:t>бактеріологічні дослідження;</w:t>
      </w:r>
    </w:p>
    <w:p w:rsidR="00D24E72" w:rsidRPr="00C25557" w:rsidRDefault="00D24E72" w:rsidP="00D24E72">
      <w:pPr>
        <w:pStyle w:val="a3"/>
        <w:numPr>
          <w:ilvl w:val="1"/>
          <w:numId w:val="29"/>
        </w:numPr>
        <w:shd w:val="clear" w:color="auto" w:fill="FFFFFF"/>
        <w:spacing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5557">
        <w:rPr>
          <w:rFonts w:ascii="Times New Roman" w:eastAsia="Times New Roman" w:hAnsi="Times New Roman" w:cs="Times New Roman"/>
          <w:sz w:val="24"/>
          <w:szCs w:val="24"/>
        </w:rPr>
        <w:t>інші лабораторні дослідження відповідно до потреб пацієнта/пацієнтки.</w:t>
      </w:r>
    </w:p>
    <w:p w:rsidR="00D24E72" w:rsidRPr="00C25557" w:rsidRDefault="00D24E72" w:rsidP="00D24E72">
      <w:pPr>
        <w:pStyle w:val="a3"/>
        <w:numPr>
          <w:ilvl w:val="0"/>
          <w:numId w:val="28"/>
        </w:numPr>
        <w:shd w:val="clear" w:color="auto" w:fill="FFFFFF"/>
        <w:spacing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C25557">
        <w:rPr>
          <w:rFonts w:ascii="Times New Roman" w:eastAsia="Times New Roman" w:hAnsi="Times New Roman" w:cs="Times New Roman"/>
          <w:sz w:val="24"/>
          <w:szCs w:val="24"/>
        </w:rPr>
        <w:t>Проведення необхідних інструментальних досліджень, зокрема електрокардіографії (ЕКГ), рентгенографії, ультразвукової діагностики тощо.</w:t>
      </w:r>
      <w:r w:rsidRPr="00C2555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</w:p>
    <w:p w:rsidR="00D24E72" w:rsidRPr="00C25557" w:rsidRDefault="00D24E72" w:rsidP="00D24E72">
      <w:pPr>
        <w:pStyle w:val="a3"/>
        <w:numPr>
          <w:ilvl w:val="0"/>
          <w:numId w:val="28"/>
        </w:numPr>
        <w:shd w:val="clear" w:color="auto" w:fill="FFFFFF"/>
        <w:spacing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C25557">
        <w:rPr>
          <w:rFonts w:ascii="Times New Roman" w:eastAsia="Times New Roman" w:hAnsi="Times New Roman" w:cs="Times New Roman"/>
          <w:sz w:val="24"/>
          <w:szCs w:val="24"/>
          <w:highlight w:val="white"/>
        </w:rPr>
        <w:t>Надання медичної допомоги для лікування коронавірусної хвороби (COVID-19) відповідно до галузевих стандартів та медико-технологічних документів у сфері охорони здоров’я.</w:t>
      </w:r>
    </w:p>
    <w:p w:rsidR="00D24E72" w:rsidRPr="00C25557" w:rsidRDefault="00D24E72" w:rsidP="00D24E72">
      <w:pPr>
        <w:pStyle w:val="a3"/>
        <w:numPr>
          <w:ilvl w:val="0"/>
          <w:numId w:val="28"/>
        </w:numPr>
        <w:shd w:val="clear" w:color="auto" w:fill="FFFFFF"/>
        <w:spacing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5557">
        <w:rPr>
          <w:rFonts w:ascii="Times New Roman" w:eastAsia="Times New Roman" w:hAnsi="Times New Roman" w:cs="Times New Roman"/>
          <w:sz w:val="24"/>
          <w:szCs w:val="24"/>
        </w:rPr>
        <w:t>Забезпечення моніторингу показників життєдіяльності (в тому числі пульсоксиметрії) для раннього виявлення ускладнень інфекційних захворювань та проведення своєчасного лікування/корекції лікувальних заходів залежно від патологічних станів, супутніх захворювань відповідно до галузевих стандартів та медико-технологічних документів у сфері охорони здоров’я.</w:t>
      </w:r>
    </w:p>
    <w:p w:rsidR="00D24E72" w:rsidRPr="00C25557" w:rsidRDefault="00D24E72" w:rsidP="00D24E72">
      <w:pPr>
        <w:pStyle w:val="a3"/>
        <w:numPr>
          <w:ilvl w:val="0"/>
          <w:numId w:val="28"/>
        </w:numPr>
        <w:shd w:val="clear" w:color="auto" w:fill="FFFFFF"/>
        <w:spacing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5557">
        <w:rPr>
          <w:rFonts w:ascii="Times New Roman" w:eastAsia="Times New Roman" w:hAnsi="Times New Roman" w:cs="Times New Roman"/>
          <w:sz w:val="24"/>
          <w:szCs w:val="24"/>
        </w:rPr>
        <w:t>Забезпечення медикаментозної терапії та знеболення.</w:t>
      </w:r>
    </w:p>
    <w:p w:rsidR="00D24E72" w:rsidRPr="00C25557" w:rsidRDefault="00D24E72" w:rsidP="00D24E72">
      <w:pPr>
        <w:pStyle w:val="a3"/>
        <w:numPr>
          <w:ilvl w:val="0"/>
          <w:numId w:val="28"/>
        </w:numPr>
        <w:shd w:val="clear" w:color="auto" w:fill="FFFFFF"/>
        <w:spacing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5557">
        <w:rPr>
          <w:rFonts w:ascii="Times New Roman" w:eastAsia="Times New Roman" w:hAnsi="Times New Roman" w:cs="Times New Roman"/>
          <w:sz w:val="24"/>
          <w:szCs w:val="24"/>
        </w:rPr>
        <w:t>Забезпечення кисневої терапії, респіраторної (неінвазивної та інвазивної) підтримки та/або ЕКМО.</w:t>
      </w:r>
    </w:p>
    <w:p w:rsidR="00D24E72" w:rsidRPr="00C25557" w:rsidRDefault="00D24E72" w:rsidP="00D24E72">
      <w:pPr>
        <w:pStyle w:val="a3"/>
        <w:numPr>
          <w:ilvl w:val="0"/>
          <w:numId w:val="28"/>
        </w:numPr>
        <w:shd w:val="clear" w:color="auto" w:fill="FFFFFF"/>
        <w:spacing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C25557">
        <w:rPr>
          <w:rFonts w:ascii="Times New Roman" w:eastAsia="Times New Roman" w:hAnsi="Times New Roman" w:cs="Times New Roman"/>
          <w:sz w:val="24"/>
          <w:szCs w:val="24"/>
          <w:highlight w:val="white"/>
        </w:rPr>
        <w:t>Забезпечення моніторингу розвитку септичного шоку (синдром системної запальної відповіді).</w:t>
      </w:r>
    </w:p>
    <w:p w:rsidR="00D24E72" w:rsidRPr="00C25557" w:rsidRDefault="00D24E72" w:rsidP="00D24E72">
      <w:pPr>
        <w:pStyle w:val="a3"/>
        <w:numPr>
          <w:ilvl w:val="0"/>
          <w:numId w:val="28"/>
        </w:numPr>
        <w:shd w:val="clear" w:color="auto" w:fill="FFFFFF"/>
        <w:spacing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C25557">
        <w:rPr>
          <w:rFonts w:ascii="Times New Roman" w:eastAsia="Times New Roman" w:hAnsi="Times New Roman" w:cs="Times New Roman"/>
          <w:sz w:val="24"/>
          <w:szCs w:val="24"/>
          <w:highlight w:val="white"/>
        </w:rPr>
        <w:t>Проведення заходів із профілактики загальних ускладнень.</w:t>
      </w:r>
    </w:p>
    <w:p w:rsidR="00D24E72" w:rsidRPr="00C25557" w:rsidRDefault="00D24E72" w:rsidP="00D24E72">
      <w:pPr>
        <w:pStyle w:val="a3"/>
        <w:numPr>
          <w:ilvl w:val="0"/>
          <w:numId w:val="28"/>
        </w:numPr>
        <w:shd w:val="clear" w:color="auto" w:fill="FFFFFF"/>
        <w:spacing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C25557">
        <w:rPr>
          <w:rFonts w:ascii="Times New Roman" w:eastAsia="Times New Roman" w:hAnsi="Times New Roman" w:cs="Times New Roman"/>
          <w:sz w:val="24"/>
          <w:szCs w:val="24"/>
          <w:highlight w:val="white"/>
        </w:rPr>
        <w:t>Проведення заходів із вторинної профілактики супутніх захворювань.</w:t>
      </w:r>
    </w:p>
    <w:p w:rsidR="00D24E72" w:rsidRPr="00C25557" w:rsidRDefault="00D24E72" w:rsidP="00D24E72">
      <w:pPr>
        <w:pStyle w:val="a3"/>
        <w:numPr>
          <w:ilvl w:val="0"/>
          <w:numId w:val="28"/>
        </w:numPr>
        <w:shd w:val="clear" w:color="auto" w:fill="FFFFFF"/>
        <w:spacing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C25557">
        <w:rPr>
          <w:rFonts w:ascii="Times New Roman" w:eastAsia="Times New Roman" w:hAnsi="Times New Roman" w:cs="Times New Roman"/>
          <w:sz w:val="24"/>
          <w:szCs w:val="24"/>
          <w:highlight w:val="white"/>
        </w:rPr>
        <w:t>Проведення консультацій лікарями інших спеціальностей.</w:t>
      </w:r>
    </w:p>
    <w:p w:rsidR="00D24E72" w:rsidRPr="00C25557" w:rsidRDefault="00D24E72" w:rsidP="00D24E72">
      <w:pPr>
        <w:pStyle w:val="a3"/>
        <w:numPr>
          <w:ilvl w:val="0"/>
          <w:numId w:val="28"/>
        </w:numPr>
        <w:shd w:val="clear" w:color="auto" w:fill="FFFFFF"/>
        <w:spacing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25557">
        <w:rPr>
          <w:rFonts w:ascii="Times New Roman" w:eastAsia="Times New Roman" w:hAnsi="Times New Roman" w:cs="Times New Roman"/>
          <w:sz w:val="24"/>
          <w:szCs w:val="24"/>
        </w:rPr>
        <w:t>Надання допомоги пацієнтам в умовах відділення інтенсивної терапії.</w:t>
      </w:r>
    </w:p>
    <w:p w:rsidR="00D24E72" w:rsidRPr="00C25557" w:rsidRDefault="00D24E72" w:rsidP="00D24E72">
      <w:pPr>
        <w:pStyle w:val="a3"/>
        <w:numPr>
          <w:ilvl w:val="0"/>
          <w:numId w:val="28"/>
        </w:numPr>
        <w:shd w:val="clear" w:color="auto" w:fill="FFFFFF"/>
        <w:spacing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C25557">
        <w:rPr>
          <w:rFonts w:ascii="Times New Roman" w:eastAsia="Times New Roman" w:hAnsi="Times New Roman" w:cs="Times New Roman"/>
          <w:sz w:val="24"/>
          <w:szCs w:val="24"/>
          <w:highlight w:val="white"/>
        </w:rPr>
        <w:t>Забезпечення цілодобового лікарського та медсестринського догляду за пацієнтами.</w:t>
      </w:r>
    </w:p>
    <w:p w:rsidR="00D24E72" w:rsidRPr="00C25557" w:rsidRDefault="00D24E72" w:rsidP="00D24E72">
      <w:pPr>
        <w:pStyle w:val="a3"/>
        <w:numPr>
          <w:ilvl w:val="0"/>
          <w:numId w:val="28"/>
        </w:numPr>
        <w:shd w:val="clear" w:color="auto" w:fill="FFFFFF"/>
        <w:spacing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C25557">
        <w:rPr>
          <w:rFonts w:ascii="Times New Roman" w:eastAsia="Times New Roman" w:hAnsi="Times New Roman" w:cs="Times New Roman"/>
          <w:sz w:val="24"/>
          <w:szCs w:val="24"/>
          <w:highlight w:val="white"/>
        </w:rPr>
        <w:t>Забезпечення реабілітації у сфері охорони здоров’я в гострому періоді, складання індивідуального реабілітаційного плану та планування подальшого реабілітаційного маршруту пацієнта.</w:t>
      </w:r>
    </w:p>
    <w:p w:rsidR="006731F7" w:rsidRPr="00D24E72" w:rsidRDefault="006731F7" w:rsidP="00D24E72">
      <w:bookmarkStart w:id="0" w:name="_GoBack"/>
      <w:bookmarkEnd w:id="0"/>
    </w:p>
    <w:sectPr w:rsidR="006731F7" w:rsidRPr="00D24E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4D7F62"/>
    <w:multiLevelType w:val="multilevel"/>
    <w:tmpl w:val="5C2EB48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B5C7786"/>
    <w:multiLevelType w:val="multilevel"/>
    <w:tmpl w:val="5816D19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127136B7"/>
    <w:multiLevelType w:val="multilevel"/>
    <w:tmpl w:val="A440CF9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17234935"/>
    <w:multiLevelType w:val="hybridMultilevel"/>
    <w:tmpl w:val="D166F3B2"/>
    <w:lvl w:ilvl="0" w:tplc="D92035AE">
      <w:start w:val="1"/>
      <w:numFmt w:val="decimal"/>
      <w:lvlText w:val="%1."/>
      <w:lvlJc w:val="left"/>
      <w:pPr>
        <w:ind w:left="1080" w:hanging="360"/>
      </w:pPr>
    </w:lvl>
    <w:lvl w:ilvl="1" w:tplc="DC961D26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76B105F"/>
    <w:multiLevelType w:val="multilevel"/>
    <w:tmpl w:val="7BF039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4690FF4"/>
    <w:multiLevelType w:val="multilevel"/>
    <w:tmpl w:val="5D805F6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25AB4E68"/>
    <w:multiLevelType w:val="multilevel"/>
    <w:tmpl w:val="6922949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7EE05F4"/>
    <w:multiLevelType w:val="multilevel"/>
    <w:tmpl w:val="00E4671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2F9947BB"/>
    <w:multiLevelType w:val="multilevel"/>
    <w:tmpl w:val="032E588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335043D5"/>
    <w:multiLevelType w:val="multilevel"/>
    <w:tmpl w:val="0A00196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410A65E8"/>
    <w:multiLevelType w:val="multilevel"/>
    <w:tmpl w:val="7AB4CEF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46A5CA9"/>
    <w:multiLevelType w:val="multilevel"/>
    <w:tmpl w:val="225457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3270D09"/>
    <w:multiLevelType w:val="multilevel"/>
    <w:tmpl w:val="819805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E2F5954"/>
    <w:multiLevelType w:val="multilevel"/>
    <w:tmpl w:val="56020A0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771702E4"/>
    <w:multiLevelType w:val="multilevel"/>
    <w:tmpl w:val="0FB4D48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5" w15:restartNumberingAfterBreak="0">
    <w:nsid w:val="7CB16CC6"/>
    <w:multiLevelType w:val="multilevel"/>
    <w:tmpl w:val="53AA220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7DDA67B4"/>
    <w:multiLevelType w:val="hybridMultilevel"/>
    <w:tmpl w:val="6A024BD4"/>
    <w:lvl w:ilvl="0" w:tplc="04220019">
      <w:start w:val="1"/>
      <w:numFmt w:val="lowerLetter"/>
      <w:lvlText w:val="%1."/>
      <w:lvlJc w:val="left"/>
      <w:pPr>
        <w:ind w:left="1140" w:hanging="360"/>
      </w:pPr>
    </w:lvl>
    <w:lvl w:ilvl="1" w:tplc="04220019">
      <w:start w:val="1"/>
      <w:numFmt w:val="lowerLetter"/>
      <w:lvlText w:val="%2."/>
      <w:lvlJc w:val="left"/>
      <w:pPr>
        <w:ind w:left="1860" w:hanging="360"/>
      </w:pPr>
    </w:lvl>
    <w:lvl w:ilvl="2" w:tplc="9438D0C8">
      <w:start w:val="1"/>
      <w:numFmt w:val="decimal"/>
      <w:lvlText w:val="%3."/>
      <w:lvlJc w:val="left"/>
      <w:pPr>
        <w:ind w:left="2760" w:hanging="360"/>
      </w:pPr>
      <w:rPr>
        <w:rFonts w:hint="default"/>
      </w:rPr>
    </w:lvl>
    <w:lvl w:ilvl="3" w:tplc="0422000F" w:tentative="1">
      <w:start w:val="1"/>
      <w:numFmt w:val="decimal"/>
      <w:lvlText w:val="%4."/>
      <w:lvlJc w:val="left"/>
      <w:pPr>
        <w:ind w:left="3300" w:hanging="360"/>
      </w:pPr>
    </w:lvl>
    <w:lvl w:ilvl="4" w:tplc="04220019" w:tentative="1">
      <w:start w:val="1"/>
      <w:numFmt w:val="lowerLetter"/>
      <w:lvlText w:val="%5."/>
      <w:lvlJc w:val="left"/>
      <w:pPr>
        <w:ind w:left="4020" w:hanging="360"/>
      </w:pPr>
    </w:lvl>
    <w:lvl w:ilvl="5" w:tplc="0422001B" w:tentative="1">
      <w:start w:val="1"/>
      <w:numFmt w:val="lowerRoman"/>
      <w:lvlText w:val="%6."/>
      <w:lvlJc w:val="right"/>
      <w:pPr>
        <w:ind w:left="4740" w:hanging="180"/>
      </w:pPr>
    </w:lvl>
    <w:lvl w:ilvl="6" w:tplc="0422000F" w:tentative="1">
      <w:start w:val="1"/>
      <w:numFmt w:val="decimal"/>
      <w:lvlText w:val="%7."/>
      <w:lvlJc w:val="left"/>
      <w:pPr>
        <w:ind w:left="5460" w:hanging="360"/>
      </w:pPr>
    </w:lvl>
    <w:lvl w:ilvl="7" w:tplc="04220019" w:tentative="1">
      <w:start w:val="1"/>
      <w:numFmt w:val="lowerLetter"/>
      <w:lvlText w:val="%8."/>
      <w:lvlJc w:val="left"/>
      <w:pPr>
        <w:ind w:left="6180" w:hanging="360"/>
      </w:pPr>
    </w:lvl>
    <w:lvl w:ilvl="8" w:tplc="0422001B" w:tentative="1">
      <w:start w:val="1"/>
      <w:numFmt w:val="lowerRoman"/>
      <w:lvlText w:val="%9."/>
      <w:lvlJc w:val="right"/>
      <w:pPr>
        <w:ind w:left="6900" w:hanging="180"/>
      </w:pPr>
    </w:lvl>
  </w:abstractNum>
  <w:num w:numId="1">
    <w:abstractNumId w:val="5"/>
  </w:num>
  <w:num w:numId="2">
    <w:abstractNumId w:val="13"/>
  </w:num>
  <w:num w:numId="3">
    <w:abstractNumId w:val="8"/>
  </w:num>
  <w:num w:numId="4">
    <w:abstractNumId w:val="15"/>
  </w:num>
  <w:num w:numId="5">
    <w:abstractNumId w:val="6"/>
  </w:num>
  <w:num w:numId="6">
    <w:abstractNumId w:val="14"/>
  </w:num>
  <w:num w:numId="7">
    <w:abstractNumId w:val="9"/>
  </w:num>
  <w:num w:numId="8">
    <w:abstractNumId w:val="1"/>
  </w:num>
  <w:num w:numId="9">
    <w:abstractNumId w:val="2"/>
  </w:num>
  <w:num w:numId="10">
    <w:abstractNumId w:val="7"/>
  </w:num>
  <w:num w:numId="11">
    <w:abstractNumId w:val="0"/>
  </w:num>
  <w:num w:numId="12">
    <w:abstractNumId w:val="12"/>
  </w:num>
  <w:num w:numId="13">
    <w:abstractNumId w:val="12"/>
    <w:lvlOverride w:ilvl="1">
      <w:lvl w:ilvl="1">
        <w:numFmt w:val="lowerLetter"/>
        <w:lvlText w:val="%2."/>
        <w:lvlJc w:val="left"/>
      </w:lvl>
    </w:lvlOverride>
  </w:num>
  <w:num w:numId="14">
    <w:abstractNumId w:val="11"/>
  </w:num>
  <w:num w:numId="15">
    <w:abstractNumId w:val="4"/>
    <w:lvlOverride w:ilvl="0">
      <w:lvl w:ilvl="0">
        <w:numFmt w:val="lowerLetter"/>
        <w:lvlText w:val="%1."/>
        <w:lvlJc w:val="left"/>
      </w:lvl>
    </w:lvlOverride>
  </w:num>
  <w:num w:numId="16">
    <w:abstractNumId w:val="10"/>
    <w:lvlOverride w:ilvl="0">
      <w:lvl w:ilvl="0">
        <w:numFmt w:val="decimal"/>
        <w:lvlText w:val="%1."/>
        <w:lvlJc w:val="left"/>
      </w:lvl>
    </w:lvlOverride>
  </w:num>
  <w:num w:numId="17">
    <w:abstractNumId w:val="10"/>
    <w:lvlOverride w:ilvl="0">
      <w:lvl w:ilvl="0">
        <w:numFmt w:val="decimal"/>
        <w:lvlText w:val="%1."/>
        <w:lvlJc w:val="left"/>
      </w:lvl>
    </w:lvlOverride>
  </w:num>
  <w:num w:numId="18">
    <w:abstractNumId w:val="10"/>
    <w:lvlOverride w:ilvl="0">
      <w:lvl w:ilvl="0">
        <w:numFmt w:val="decimal"/>
        <w:lvlText w:val="%1."/>
        <w:lvlJc w:val="left"/>
      </w:lvl>
    </w:lvlOverride>
  </w:num>
  <w:num w:numId="19">
    <w:abstractNumId w:val="10"/>
    <w:lvlOverride w:ilvl="0">
      <w:lvl w:ilvl="0">
        <w:numFmt w:val="decimal"/>
        <w:lvlText w:val="%1."/>
        <w:lvlJc w:val="left"/>
      </w:lvl>
    </w:lvlOverride>
  </w:num>
  <w:num w:numId="20">
    <w:abstractNumId w:val="10"/>
    <w:lvlOverride w:ilvl="0">
      <w:lvl w:ilvl="0">
        <w:numFmt w:val="decimal"/>
        <w:lvlText w:val="%1."/>
        <w:lvlJc w:val="left"/>
      </w:lvl>
    </w:lvlOverride>
  </w:num>
  <w:num w:numId="21">
    <w:abstractNumId w:val="10"/>
    <w:lvlOverride w:ilvl="0">
      <w:lvl w:ilvl="0">
        <w:numFmt w:val="decimal"/>
        <w:lvlText w:val="%1."/>
        <w:lvlJc w:val="left"/>
      </w:lvl>
    </w:lvlOverride>
  </w:num>
  <w:num w:numId="22">
    <w:abstractNumId w:val="10"/>
    <w:lvlOverride w:ilvl="0">
      <w:lvl w:ilvl="0">
        <w:numFmt w:val="decimal"/>
        <w:lvlText w:val="%1."/>
        <w:lvlJc w:val="left"/>
      </w:lvl>
    </w:lvlOverride>
  </w:num>
  <w:num w:numId="23">
    <w:abstractNumId w:val="10"/>
    <w:lvlOverride w:ilvl="0">
      <w:lvl w:ilvl="0">
        <w:numFmt w:val="decimal"/>
        <w:lvlText w:val="%1."/>
        <w:lvlJc w:val="left"/>
      </w:lvl>
    </w:lvlOverride>
  </w:num>
  <w:num w:numId="24">
    <w:abstractNumId w:val="10"/>
    <w:lvlOverride w:ilvl="0">
      <w:lvl w:ilvl="0">
        <w:numFmt w:val="decimal"/>
        <w:lvlText w:val="%1."/>
        <w:lvlJc w:val="left"/>
      </w:lvl>
    </w:lvlOverride>
  </w:num>
  <w:num w:numId="25">
    <w:abstractNumId w:val="10"/>
    <w:lvlOverride w:ilvl="0">
      <w:lvl w:ilvl="0">
        <w:numFmt w:val="decimal"/>
        <w:lvlText w:val="%1."/>
        <w:lvlJc w:val="left"/>
      </w:lvl>
    </w:lvlOverride>
  </w:num>
  <w:num w:numId="26">
    <w:abstractNumId w:val="10"/>
    <w:lvlOverride w:ilvl="0">
      <w:lvl w:ilvl="0">
        <w:numFmt w:val="decimal"/>
        <w:lvlText w:val="%1."/>
        <w:lvlJc w:val="left"/>
      </w:lvl>
    </w:lvlOverride>
  </w:num>
  <w:num w:numId="27">
    <w:abstractNumId w:val="10"/>
    <w:lvlOverride w:ilvl="0">
      <w:lvl w:ilvl="0">
        <w:numFmt w:val="decimal"/>
        <w:lvlText w:val="%1."/>
        <w:lvlJc w:val="left"/>
      </w:lvl>
    </w:lvlOverride>
  </w:num>
  <w:num w:numId="28">
    <w:abstractNumId w:val="3"/>
  </w:num>
  <w:num w:numId="2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3E2"/>
    <w:rsid w:val="000617AC"/>
    <w:rsid w:val="0025688A"/>
    <w:rsid w:val="00396379"/>
    <w:rsid w:val="00430379"/>
    <w:rsid w:val="00493C3B"/>
    <w:rsid w:val="004C53A0"/>
    <w:rsid w:val="004C7A00"/>
    <w:rsid w:val="004F5871"/>
    <w:rsid w:val="005C06E0"/>
    <w:rsid w:val="00645A0B"/>
    <w:rsid w:val="006731F7"/>
    <w:rsid w:val="006C43E2"/>
    <w:rsid w:val="008D2A75"/>
    <w:rsid w:val="00945FAB"/>
    <w:rsid w:val="00993769"/>
    <w:rsid w:val="00AF4639"/>
    <w:rsid w:val="00C47F4E"/>
    <w:rsid w:val="00D24E72"/>
    <w:rsid w:val="00DC35BC"/>
    <w:rsid w:val="00FB7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8996A1-28B5-4934-BCE1-8EB591FB5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C35BC"/>
    <w:pPr>
      <w:spacing w:after="0" w:line="276" w:lineRule="auto"/>
    </w:pPr>
    <w:rPr>
      <w:rFonts w:ascii="Arial" w:eastAsia="Arial" w:hAnsi="Arial" w:cs="Arial"/>
      <w:lang w:val="ru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993769"/>
    <w:pPr>
      <w:keepNext/>
      <w:keepLines/>
      <w:spacing w:before="360" w:after="120"/>
      <w:outlineLvl w:val="1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93769"/>
    <w:rPr>
      <w:rFonts w:ascii="Arial" w:eastAsia="Arial" w:hAnsi="Arial" w:cs="Arial"/>
      <w:sz w:val="32"/>
      <w:szCs w:val="32"/>
      <w:lang w:val="ru" w:eastAsia="ru-RU"/>
    </w:rPr>
  </w:style>
  <w:style w:type="paragraph" w:styleId="a3">
    <w:name w:val="List Paragraph"/>
    <w:basedOn w:val="a"/>
    <w:uiPriority w:val="34"/>
    <w:qFormat/>
    <w:rsid w:val="00D24E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Кудря Євген Валерійович</cp:lastModifiedBy>
  <cp:revision>5</cp:revision>
  <dcterms:created xsi:type="dcterms:W3CDTF">2021-07-30T15:10:00Z</dcterms:created>
  <dcterms:modified xsi:type="dcterms:W3CDTF">2022-02-07T08:58:00Z</dcterms:modified>
</cp:coreProperties>
</file>