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E6C" w:rsidRPr="00C25557" w:rsidRDefault="006F2E6C" w:rsidP="006F2E6C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D546C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uk-UA"/>
        </w:rPr>
        <w:t>ЛІКУВАННЯ ТА СУПРОВІД ДОРОСЛИХ І ДІТЕЙ З ГЕМАТОЛОГІЧНИМИ ТА ОНКОГЕМАТОЛОГІЧНИМИ ЗАХВОРЮВАННЯМИ В АМБУЛАТОРНИХ ТА СТАЦІОНАРНИХ УМОВАХ</w:t>
      </w:r>
    </w:p>
    <w:p w:rsidR="006F2E6C" w:rsidRPr="00C25557" w:rsidRDefault="006F2E6C" w:rsidP="006F2E6C">
      <w:pPr>
        <w:pStyle w:val="2"/>
        <w:spacing w:before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b/>
          <w:bCs/>
          <w:lang w:val="ru-RU"/>
        </w:rPr>
        <w:t xml:space="preserve">Обсяг медичних послуг, який надавач зобов’язується надавати за договором відповідно до медичних потреб пацієнта/пацієнтки (специфікація)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1. Діагностика та лікування пацієнтів з підтвердженим онкогематологічним або гематологічним захворюванням (визначеним у підставах надання послуг) та пацієнтів у клініко-лабораторній ремісії в амбулаторних та стаціонарних умовах.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2. Проведення необхідних лабораторних досліджень пацієнтам з підтвердженим онкогематологічним або гематологічним захворюванням та пацієнтам у клініко-лабораторній ремісії в амбулаторних та стаціонарних умовах, зокрема: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розгорнутий клінічний аналіз крові на автоматичному гематологічному аналізаторі; цитоморфологічне дослідження клітин крові, диференційований підрахунок лейкоцитів (лейкоцитарна формула); підрахунок кількості ретикулоцитів (в цілодобовому режимі);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визначення групи крові і резус фактору (в цілодобовому режимі);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біохімічний аналіз крові (загальний білок, альфа-амілаза, аспартатамінотрансфераза (АсАТ), аланінамінотрансфераза (АлАТ), білірубін і його фракції (загальний, прямий, непрямий), креатинін, сечовина, сечова кислота, хлор, калій, натрій, кальцій, фосфор, феритин), лактатдегідрогеназа, (в цілодобовому режимі);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d</w:t>
      </w:r>
      <w:r w:rsidRPr="00C25557">
        <w:rPr>
          <w:lang w:val="ru-RU"/>
        </w:rPr>
        <w:t xml:space="preserve">. коагуляційний гемостаз (фібриноген, тромбіновий час, активований частковий (парціальний) тромбопластиновий час (АЧТЧ, АПТЧ), міжнародне нормалізоване відношення (МНВ), </w:t>
      </w:r>
      <w:r w:rsidRPr="00C25557">
        <w:t>D</w:t>
      </w:r>
      <w:r w:rsidRPr="00C25557">
        <w:rPr>
          <w:lang w:val="ru-RU"/>
        </w:rPr>
        <w:t xml:space="preserve">-дімер) (в цілодобовому режимі);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e</w:t>
      </w:r>
      <w:r w:rsidRPr="00C25557">
        <w:rPr>
          <w:lang w:val="ru-RU"/>
        </w:rPr>
        <w:t xml:space="preserve">. глюкоза в цільній крові або сироватці крові (в цілодобовому режимі);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f</w:t>
      </w:r>
      <w:r w:rsidRPr="00C25557">
        <w:rPr>
          <w:lang w:val="ru-RU"/>
        </w:rPr>
        <w:t>. С-реактивний білок (</w:t>
      </w:r>
      <w:r w:rsidRPr="00C25557">
        <w:t>CRP</w:t>
      </w:r>
      <w:r w:rsidRPr="00C25557">
        <w:rPr>
          <w:lang w:val="ru-RU"/>
        </w:rPr>
        <w:t xml:space="preserve">, кількісне визначення) (в цілодобовому режимі);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g</w:t>
      </w:r>
      <w:r w:rsidRPr="00C25557">
        <w:rPr>
          <w:lang w:val="ru-RU"/>
        </w:rPr>
        <w:t xml:space="preserve">. цитоморфологічне дослідження спинномозкової рідини з використанням методу рідинної цитології, біохімічне дослідження спинномозкової рідини; </w:t>
      </w:r>
    </w:p>
    <w:p w:rsidR="006F2E6C" w:rsidRPr="008546D6" w:rsidRDefault="006F2E6C" w:rsidP="006F2E6C">
      <w:pPr>
        <w:pStyle w:val="Default"/>
        <w:rPr>
          <w:lang w:val="ru-RU"/>
        </w:rPr>
      </w:pPr>
      <w:r w:rsidRPr="00C25557">
        <w:t>h</w:t>
      </w:r>
      <w:r w:rsidRPr="008546D6">
        <w:rPr>
          <w:lang w:val="ru-RU"/>
        </w:rPr>
        <w:t xml:space="preserve">. загальний аналіз сечі; </w:t>
      </w:r>
    </w:p>
    <w:p w:rsidR="006F2E6C" w:rsidRPr="008546D6" w:rsidRDefault="006F2E6C" w:rsidP="006F2E6C">
      <w:pPr>
        <w:pStyle w:val="Default"/>
        <w:rPr>
          <w:lang w:val="ru-RU"/>
        </w:rPr>
      </w:pPr>
      <w:r w:rsidRPr="00C25557">
        <w:t>i</w:t>
      </w:r>
      <w:r w:rsidRPr="008546D6">
        <w:rPr>
          <w:lang w:val="ru-RU"/>
        </w:rPr>
        <w:t xml:space="preserve">. проточна цитофлуориметрія аспіратів кісткового мозку та/або клітин периферичної крові; </w:t>
      </w:r>
    </w:p>
    <w:p w:rsidR="006F2E6C" w:rsidRPr="008546D6" w:rsidRDefault="006F2E6C" w:rsidP="006F2E6C">
      <w:pPr>
        <w:pStyle w:val="Default"/>
        <w:rPr>
          <w:lang w:val="ru-RU"/>
        </w:rPr>
      </w:pPr>
      <w:r w:rsidRPr="00C25557">
        <w:t>j</w:t>
      </w:r>
      <w:r w:rsidRPr="008546D6">
        <w:rPr>
          <w:lang w:val="ru-RU"/>
        </w:rPr>
        <w:t xml:space="preserve">. патоморфологічні дослідження (гістологічне, імуногістохімічне дослідження біоптатів пухлини та трепанбіоптатів кісткового мозку); </w:t>
      </w:r>
    </w:p>
    <w:p w:rsidR="006F2E6C" w:rsidRPr="008546D6" w:rsidRDefault="006F2E6C" w:rsidP="006F2E6C">
      <w:pPr>
        <w:pStyle w:val="Default"/>
        <w:rPr>
          <w:lang w:val="ru-RU"/>
        </w:rPr>
      </w:pPr>
      <w:r w:rsidRPr="00C25557">
        <w:t>k</w:t>
      </w:r>
      <w:r w:rsidRPr="008546D6">
        <w:rPr>
          <w:lang w:val="ru-RU"/>
        </w:rPr>
        <w:t xml:space="preserve">. дослідження препаратів цитоцентрифугатів біологічних рідин; </w:t>
      </w:r>
    </w:p>
    <w:p w:rsidR="006F2E6C" w:rsidRPr="008546D6" w:rsidRDefault="006F2E6C" w:rsidP="006F2E6C">
      <w:pPr>
        <w:pStyle w:val="Default"/>
        <w:rPr>
          <w:lang w:val="ru-RU"/>
        </w:rPr>
      </w:pPr>
      <w:r w:rsidRPr="00C25557">
        <w:t>l</w:t>
      </w:r>
      <w:r w:rsidRPr="008546D6">
        <w:rPr>
          <w:lang w:val="ru-RU"/>
        </w:rPr>
        <w:t xml:space="preserve">. цитологічні дослідження; </w:t>
      </w:r>
    </w:p>
    <w:p w:rsidR="006F2E6C" w:rsidRPr="008546D6" w:rsidRDefault="006F2E6C" w:rsidP="006F2E6C">
      <w:pPr>
        <w:pStyle w:val="Default"/>
        <w:rPr>
          <w:lang w:val="ru-RU"/>
        </w:rPr>
      </w:pPr>
      <w:r w:rsidRPr="00C25557">
        <w:t>m</w:t>
      </w:r>
      <w:r w:rsidRPr="008546D6">
        <w:rPr>
          <w:lang w:val="ru-RU"/>
        </w:rPr>
        <w:t xml:space="preserve">. цитогенетичні та молекулярно-цитогенетичні дослідження;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n</w:t>
      </w:r>
      <w:r w:rsidRPr="00C25557">
        <w:rPr>
          <w:lang w:val="ru-RU"/>
        </w:rPr>
        <w:t xml:space="preserve">. дослідження моноклональних антитіл в сироватці крові;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o</w:t>
      </w:r>
      <w:r w:rsidRPr="00C25557">
        <w:rPr>
          <w:lang w:val="ru-RU"/>
        </w:rPr>
        <w:t xml:space="preserve">. молекулярно-генетичні дослідження клітин кісткового мозку, клітин периферичної крові та іншого біологічного матеріалу;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p</w:t>
      </w:r>
      <w:r w:rsidRPr="00C25557">
        <w:rPr>
          <w:lang w:val="ru-RU"/>
        </w:rPr>
        <w:t xml:space="preserve">. бактеріологічні та бактеріоскопічні дослідження біологічних зразків з визначенням за потребою чутливості до антибактеріальних препаратів;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q</w:t>
      </w:r>
      <w:r w:rsidRPr="00C25557">
        <w:rPr>
          <w:lang w:val="ru-RU"/>
        </w:rPr>
        <w:t>. визначення антитіл до ВІЛ-1/2, НВ</w:t>
      </w:r>
      <w:r w:rsidRPr="00C25557">
        <w:t>sAg</w:t>
      </w:r>
      <w:r w:rsidRPr="00C25557">
        <w:rPr>
          <w:lang w:val="ru-RU"/>
        </w:rPr>
        <w:t>, Н</w:t>
      </w:r>
      <w:r w:rsidRPr="00C25557">
        <w:t>CV</w:t>
      </w:r>
      <w:r w:rsidRPr="00C25557">
        <w:rPr>
          <w:lang w:val="ru-RU"/>
        </w:rPr>
        <w:t xml:space="preserve">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r</w:t>
      </w:r>
      <w:r w:rsidRPr="00C25557">
        <w:rPr>
          <w:lang w:val="ru-RU"/>
        </w:rPr>
        <w:t xml:space="preserve">. цитохімічне та цитоморфологічне дослідження аспірату кісткового мозку з диференційованим підрахунком (мієлограма);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s</w:t>
      </w:r>
      <w:r w:rsidRPr="00C25557">
        <w:rPr>
          <w:lang w:val="ru-RU"/>
        </w:rPr>
        <w:t xml:space="preserve">. інші лабораторні дослідження відповідно до потреб пацієнтів.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3. Проведення необхідної інструментальної діагностики пацієнтам з підтвердженим онкогематологічним або гематологічним захворюванням та пацієнтам у клініко-лабораторній ремісії в амбулаторних та стаціонарних умовах, зокрема: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магнітно-резонансна томографія (в тому числі з внутрішньовенним контрастуванням);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рентгенологічні дослідження, в тому числі комп’ютерна томографія (в тому числі з внутрішньовенним контрастуванням);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ендоскопічні дослідження;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d</w:t>
      </w:r>
      <w:r w:rsidRPr="00C25557">
        <w:rPr>
          <w:lang w:val="ru-RU"/>
        </w:rPr>
        <w:t xml:space="preserve">. ультразвукові дослідження, в тому числі із проведенням доплерографії;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lastRenderedPageBreak/>
        <w:t>e</w:t>
      </w:r>
      <w:r w:rsidRPr="00C25557">
        <w:rPr>
          <w:lang w:val="ru-RU"/>
        </w:rPr>
        <w:t xml:space="preserve">. електрокардіографія (ЕКГ);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f</w:t>
      </w:r>
      <w:r w:rsidRPr="00C25557">
        <w:rPr>
          <w:lang w:val="ru-RU"/>
        </w:rPr>
        <w:t xml:space="preserve">. ехокардіографія (ЕХО-КГ);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t>g</w:t>
      </w:r>
      <w:r w:rsidRPr="00C25557">
        <w:rPr>
          <w:lang w:val="ru-RU"/>
        </w:rPr>
        <w:t xml:space="preserve">. інші інструментальні дослідження відповідно до потреб пацієнтів.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4. Забезпечення лікарськими засобами, постачання яких здійснюється шляхом централізованих закупівель МОЗ, за рахунок інших програм центрального та місцевого бюджетів, а також лікарськими засобами, визначеними Національним переліком основних лікарських засобів,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5. Проведення медикаментозної терапії.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6. Проведення лікування методом еферентної терапії та/або із застосуванням аферезу клітин крові в закладі та/або на умовах договору підряду.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7. Визначення контролю сироваткових концентрацій метотрексату в крові в закладі та/або на умовах договору підряду (при умові виконання дослідження та отримання його результату протягом 6 годин з моменту забору крові).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8. Забезпечення надання кисневої підтримки.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9. Надання медичної допомоги в умовах інтенсивної терапії із забезпеченням центрального венозного доступу.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10. Цілодобове лікарське спостереження та медсестринський догляд за пацієнтами в стаціонарних умовах з можливістю проведення цілодобового моніторингу вітальних функцій (ЧСС, АТ, </w:t>
      </w:r>
      <w:r w:rsidRPr="00C25557">
        <w:t>SpO</w:t>
      </w:r>
      <w:r w:rsidRPr="00C25557">
        <w:rPr>
          <w:lang w:val="ru-RU"/>
        </w:rPr>
        <w:t xml:space="preserve">2, ЕКГ-моніторинг).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11. Своєчасне знеболення на всіх етапах діагностики та лікування при наданні амбулаторної або стаціонарної медичної допомоги: анестезіологічне забезпечення під час виконання всіх інвазивних діагностичних процедур (зокрема кістковомозкові пункції, люмбальні пункції, трепанобіопсія), цілодобовий доступ до ненаркотичних та наркотичних знеболювальних засобів.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12. Проведення консультацій лікарями інших спеціальностей пацієнтів в амбулаторних та стаціонарних умовах.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13. Надання послуг з реабілітації у сфері охорони здоров’я за медичними показами під час отримання лікування та направлення пацієнтів для отримання послуг з реабілітації у сфері охорони здоров’я або послуг з паліативної медичної допомоги.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14. Оцінка психоемоційного стану пацієнта/пацієнтки та надання психологічної допомоги в амбулаторних та стаціонарних умовах.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15. Направлення пацієнтів для отримання вторинної (спеціалізованої), третинної (високоспеціалізованої) медичної допомоги за іншими напрямами медичної допомоги в інші заклади/підрозділи. Виклик спеціалістів у лікувальний заклад, в якому пацієнт/пацієнтка проходить лікування, у разі неможливості його/її транспортування.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16. Обов’язкове інформування пацієнта/пацієнтки або у випадку лікування неповнолітніх осіб – батьків чи законних представників пацієнта/пацієнтки та видача направлення на консультацію репродуктолога перед початком лікування за бажанням пацієнта або у випадку лікування неповнолітніх осіб – батьків чи законних представників пацієнта/пацієнтки.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17. Забезпечення необхідною трансфузійною підтримкою. </w:t>
      </w:r>
    </w:p>
    <w:p w:rsidR="006F2E6C" w:rsidRPr="00C25557" w:rsidRDefault="006F2E6C" w:rsidP="006F2E6C">
      <w:pPr>
        <w:pStyle w:val="Default"/>
        <w:rPr>
          <w:lang w:val="ru-RU"/>
        </w:rPr>
      </w:pPr>
      <w:r w:rsidRPr="00C25557">
        <w:rPr>
          <w:lang w:val="ru-RU"/>
        </w:rPr>
        <w:t xml:space="preserve">18. Забезпечення необхідним дієтичним харчуванням в умовах стаціонару. </w:t>
      </w:r>
    </w:p>
    <w:p w:rsidR="006731F7" w:rsidRPr="006F2E6C" w:rsidRDefault="006731F7" w:rsidP="006F2E6C">
      <w:bookmarkStart w:id="0" w:name="_GoBack"/>
      <w:bookmarkEnd w:id="0"/>
    </w:p>
    <w:sectPr w:rsidR="006731F7" w:rsidRPr="006F2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46B3E"/>
    <w:multiLevelType w:val="multilevel"/>
    <w:tmpl w:val="1B5E43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4649BA"/>
    <w:multiLevelType w:val="multilevel"/>
    <w:tmpl w:val="3F482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20E25"/>
    <w:multiLevelType w:val="multilevel"/>
    <w:tmpl w:val="927283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25B46"/>
    <w:multiLevelType w:val="multilevel"/>
    <w:tmpl w:val="AF781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4721BD"/>
    <w:multiLevelType w:val="multilevel"/>
    <w:tmpl w:val="32FAF4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A26E0"/>
    <w:multiLevelType w:val="multilevel"/>
    <w:tmpl w:val="267493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C71E18"/>
    <w:multiLevelType w:val="multilevel"/>
    <w:tmpl w:val="480A28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32E6D42"/>
    <w:multiLevelType w:val="multilevel"/>
    <w:tmpl w:val="9CECA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D8459C"/>
    <w:multiLevelType w:val="multilevel"/>
    <w:tmpl w:val="4E428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C3667F"/>
    <w:multiLevelType w:val="multilevel"/>
    <w:tmpl w:val="EB4C47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1256E00"/>
    <w:multiLevelType w:val="multilevel"/>
    <w:tmpl w:val="91FE245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72D22AA6"/>
    <w:multiLevelType w:val="multilevel"/>
    <w:tmpl w:val="BDEC8B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6F42EA6"/>
    <w:multiLevelType w:val="multilevel"/>
    <w:tmpl w:val="9A48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16"/>
  </w:num>
  <w:num w:numId="5">
    <w:abstractNumId w:val="5"/>
  </w:num>
  <w:num w:numId="6">
    <w:abstractNumId w:val="8"/>
  </w:num>
  <w:num w:numId="7">
    <w:abstractNumId w:val="11"/>
  </w:num>
  <w:num w:numId="8">
    <w:abstractNumId w:val="0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9"/>
  </w:num>
  <w:num w:numId="12">
    <w:abstractNumId w:val="9"/>
    <w:lvlOverride w:ilvl="1">
      <w:lvl w:ilvl="1">
        <w:numFmt w:val="lowerLetter"/>
        <w:lvlText w:val="%2."/>
        <w:lvlJc w:val="left"/>
      </w:lvl>
    </w:lvlOverride>
  </w:num>
  <w:num w:numId="13">
    <w:abstractNumId w:val="9"/>
    <w:lvlOverride w:ilvl="1">
      <w:lvl w:ilvl="1">
        <w:numFmt w:val="lowerLetter"/>
        <w:lvlText w:val="%2."/>
        <w:lvlJc w:val="left"/>
      </w:lvl>
    </w:lvlOverride>
  </w:num>
  <w:num w:numId="14">
    <w:abstractNumId w:val="3"/>
  </w:num>
  <w:num w:numId="15">
    <w:abstractNumId w:val="15"/>
  </w:num>
  <w:num w:numId="16">
    <w:abstractNumId w:val="1"/>
    <w:lvlOverride w:ilvl="0">
      <w:lvl w:ilvl="0">
        <w:numFmt w:val="lowerLetter"/>
        <w:lvlText w:val="%1."/>
        <w:lvlJc w:val="left"/>
      </w:lvl>
    </w:lvlOverride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10"/>
    <w:lvlOverride w:ilvl="0">
      <w:lvl w:ilvl="0">
        <w:numFmt w:val="lowerLetter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2"/>
    <w:lvlOverride w:ilvl="0">
      <w:lvl w:ilvl="0">
        <w:numFmt w:val="decimal"/>
        <w:lvlText w:val="%1."/>
        <w:lvlJc w:val="left"/>
      </w:lvl>
    </w:lvlOverride>
  </w:num>
  <w:num w:numId="24">
    <w:abstractNumId w:val="2"/>
    <w:lvlOverride w:ilvl="0">
      <w:lvl w:ilvl="0">
        <w:numFmt w:val="decimal"/>
        <w:lvlText w:val="%1."/>
        <w:lvlJc w:val="left"/>
      </w:lvl>
    </w:lvlOverride>
  </w:num>
  <w:num w:numId="25">
    <w:abstractNumId w:val="2"/>
    <w:lvlOverride w:ilvl="0">
      <w:lvl w:ilvl="0">
        <w:numFmt w:val="decimal"/>
        <w:lvlText w:val="%1."/>
        <w:lvlJc w:val="left"/>
      </w:lvl>
    </w:lvlOverride>
  </w:num>
  <w:num w:numId="26">
    <w:abstractNumId w:val="2"/>
    <w:lvlOverride w:ilvl="0">
      <w:lvl w:ilvl="0">
        <w:numFmt w:val="decimal"/>
        <w:lvlText w:val="%1."/>
        <w:lvlJc w:val="left"/>
      </w:lvl>
    </w:lvlOverride>
  </w:num>
  <w:num w:numId="27">
    <w:abstractNumId w:val="2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2"/>
    <w:lvlOverride w:ilvl="0">
      <w:lvl w:ilvl="0">
        <w:numFmt w:val="decimal"/>
        <w:lvlText w:val="%1."/>
        <w:lvlJc w:val="left"/>
      </w:lvl>
    </w:lvlOverride>
  </w:num>
  <w:num w:numId="30">
    <w:abstractNumId w:val="2"/>
    <w:lvlOverride w:ilvl="0">
      <w:lvl w:ilvl="0">
        <w:numFmt w:val="decimal"/>
        <w:lvlText w:val="%1."/>
        <w:lvlJc w:val="left"/>
      </w:lvl>
    </w:lvlOverride>
  </w:num>
  <w:num w:numId="31">
    <w:abstractNumId w:val="2"/>
    <w:lvlOverride w:ilvl="0">
      <w:lvl w:ilvl="0">
        <w:numFmt w:val="decimal"/>
        <w:lvlText w:val="%1."/>
        <w:lvlJc w:val="left"/>
      </w:lvl>
    </w:lvlOverride>
  </w:num>
  <w:num w:numId="32">
    <w:abstractNumId w:val="2"/>
    <w:lvlOverride w:ilvl="0">
      <w:lvl w:ilvl="0">
        <w:numFmt w:val="decimal"/>
        <w:lvlText w:val="%1."/>
        <w:lvlJc w:val="left"/>
      </w:lvl>
    </w:lvlOverride>
  </w:num>
  <w:num w:numId="33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0D2302"/>
    <w:rsid w:val="00115871"/>
    <w:rsid w:val="00280ED9"/>
    <w:rsid w:val="00482B0B"/>
    <w:rsid w:val="004A4E3F"/>
    <w:rsid w:val="006731F7"/>
    <w:rsid w:val="006C43E2"/>
    <w:rsid w:val="006F2E6C"/>
    <w:rsid w:val="00822B61"/>
    <w:rsid w:val="008A224D"/>
    <w:rsid w:val="008D2A75"/>
    <w:rsid w:val="00993769"/>
    <w:rsid w:val="00C26CC7"/>
    <w:rsid w:val="00C47F4E"/>
    <w:rsid w:val="00D65E62"/>
    <w:rsid w:val="00DC35BC"/>
    <w:rsid w:val="00E11CB2"/>
    <w:rsid w:val="00EA4388"/>
    <w:rsid w:val="00ED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0D23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character" w:customStyle="1" w:styleId="10">
    <w:name w:val="Заголовок 1 Знак"/>
    <w:basedOn w:val="a0"/>
    <w:link w:val="1"/>
    <w:uiPriority w:val="9"/>
    <w:rsid w:val="000D23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" w:eastAsia="ru-RU"/>
    </w:rPr>
  </w:style>
  <w:style w:type="paragraph" w:styleId="a3">
    <w:name w:val="Normal (Web)"/>
    <w:basedOn w:val="a"/>
    <w:uiPriority w:val="99"/>
    <w:semiHidden/>
    <w:unhideWhenUsed/>
    <w:rsid w:val="004A4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6F2E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2021-07-30T15:00:00Z</dcterms:created>
  <dcterms:modified xsi:type="dcterms:W3CDTF">2022-02-07T09:23:00Z</dcterms:modified>
</cp:coreProperties>
</file>