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D32" w:rsidRDefault="00522D32" w:rsidP="00522D32">
      <w:pPr>
        <w:pStyle w:val="1"/>
        <w:spacing w:before="0" w:after="0"/>
        <w:ind w:firstLine="709"/>
        <w:jc w:val="center"/>
      </w:pPr>
      <w:bookmarkStart w:id="0" w:name="_GoBack"/>
      <w:r>
        <w:rPr>
          <w:sz w:val="24"/>
          <w:szCs w:val="24"/>
        </w:rPr>
        <w:t>ЛІКУВАННЯ ПАЦІЄНТІВ МЕТОДОМ ГЕМОДІАЛІЗУ В АМБУЛАТОРНИХ УМОВАХ</w:t>
      </w:r>
    </w:p>
    <w:bookmarkEnd w:id="0"/>
    <w:p w:rsidR="00522D32" w:rsidRDefault="00522D32" w:rsidP="00522D32"/>
    <w:p w:rsidR="00522D32" w:rsidRDefault="00522D32" w:rsidP="00522D32">
      <w:pPr>
        <w:pBdr>
          <w:top w:val="nil"/>
          <w:left w:val="nil"/>
          <w:bottom w:val="nil"/>
          <w:right w:val="nil"/>
          <w:between w:val="nil"/>
        </w:pBdr>
        <w:spacing w:line="240" w:lineRule="auto"/>
        <w:ind w:left="284"/>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522D32" w:rsidRDefault="00522D32" w:rsidP="00522D32">
      <w:pPr>
        <w:numPr>
          <w:ilvl w:val="0"/>
          <w:numId w:val="13"/>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Первинний огляд пацієнта/пацієнтки та подальше спостереження за станом </w:t>
      </w:r>
      <w:proofErr w:type="spellStart"/>
      <w:r>
        <w:rPr>
          <w:rFonts w:ascii="Times New Roman" w:eastAsia="Times New Roman" w:hAnsi="Times New Roman" w:cs="Times New Roman"/>
          <w:color w:val="000000"/>
          <w:sz w:val="24"/>
          <w:szCs w:val="24"/>
        </w:rPr>
        <w:t>життєво</w:t>
      </w:r>
      <w:proofErr w:type="spellEnd"/>
      <w:r>
        <w:rPr>
          <w:rFonts w:ascii="Times New Roman" w:eastAsia="Times New Roman" w:hAnsi="Times New Roman" w:cs="Times New Roman"/>
          <w:color w:val="000000"/>
          <w:sz w:val="24"/>
          <w:szCs w:val="24"/>
        </w:rPr>
        <w:t xml:space="preserve"> важливих функцій організму. </w:t>
      </w:r>
    </w:p>
    <w:p w:rsidR="00522D32" w:rsidRDefault="00522D32" w:rsidP="00522D32">
      <w:pPr>
        <w:numPr>
          <w:ilvl w:val="0"/>
          <w:numId w:val="13"/>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Контроль ефективності (адекватності) </w:t>
      </w:r>
      <w:proofErr w:type="spellStart"/>
      <w:r>
        <w:rPr>
          <w:rFonts w:ascii="Times New Roman" w:eastAsia="Times New Roman" w:hAnsi="Times New Roman" w:cs="Times New Roman"/>
          <w:color w:val="000000"/>
          <w:sz w:val="24"/>
          <w:szCs w:val="24"/>
        </w:rPr>
        <w:t>діалізного</w:t>
      </w:r>
      <w:proofErr w:type="spellEnd"/>
      <w:r>
        <w:rPr>
          <w:rFonts w:ascii="Times New Roman" w:eastAsia="Times New Roman" w:hAnsi="Times New Roman" w:cs="Times New Roman"/>
          <w:color w:val="000000"/>
          <w:sz w:val="24"/>
          <w:szCs w:val="24"/>
        </w:rPr>
        <w:t xml:space="preserve"> лікування, включаючи оцінку та корекцію </w:t>
      </w:r>
      <w:proofErr w:type="spellStart"/>
      <w:r>
        <w:rPr>
          <w:rFonts w:ascii="Times New Roman" w:eastAsia="Times New Roman" w:hAnsi="Times New Roman" w:cs="Times New Roman"/>
          <w:color w:val="000000"/>
          <w:sz w:val="24"/>
          <w:szCs w:val="24"/>
        </w:rPr>
        <w:t>нутриційного</w:t>
      </w:r>
      <w:proofErr w:type="spellEnd"/>
      <w:r>
        <w:rPr>
          <w:rFonts w:ascii="Times New Roman" w:eastAsia="Times New Roman" w:hAnsi="Times New Roman" w:cs="Times New Roman"/>
          <w:color w:val="000000"/>
          <w:sz w:val="24"/>
          <w:szCs w:val="24"/>
        </w:rPr>
        <w:t xml:space="preserve"> статусу, своєчасну діагностику, профілактику та лікування ускладнень із направленням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rPr>
        <w:t xml:space="preserve"> при наявності показань до лікарів-спеціалістів інших профілів. </w:t>
      </w:r>
    </w:p>
    <w:p w:rsidR="00522D32" w:rsidRDefault="00522D32" w:rsidP="00522D32">
      <w:pPr>
        <w:numPr>
          <w:ilvl w:val="0"/>
          <w:numId w:val="13"/>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процедури гемодіалізу. </w:t>
      </w:r>
    </w:p>
    <w:p w:rsidR="00522D32" w:rsidRDefault="00522D32" w:rsidP="00522D32">
      <w:pPr>
        <w:numPr>
          <w:ilvl w:val="0"/>
          <w:numId w:val="13"/>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Проведення необхідних лабораторних досліджень відповідно до галузевих стандартів у сфері охорони здоров’я, а також за потребою або при погіршенні стану, зокрема: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(сечовина, креатинін, загальний білок, альбумін, глюкоза, калій, натрій, магній, кальцій (загальний або іонізований), фосфор; фракції білірубіну, </w:t>
      </w:r>
      <w:r w:rsidRPr="00522D32">
        <w:rPr>
          <w:rFonts w:ascii="Times New Roman" w:eastAsia="Times New Roman" w:hAnsi="Times New Roman" w:cs="Times New Roman"/>
          <w:color w:val="000000"/>
          <w:sz w:val="24"/>
          <w:szCs w:val="24"/>
        </w:rPr>
        <w:t>АЛТ, АСТ);</w:t>
      </w:r>
      <w:r>
        <w:rPr>
          <w:rFonts w:ascii="Times New Roman" w:eastAsia="Times New Roman" w:hAnsi="Times New Roman" w:cs="Times New Roman"/>
          <w:b/>
          <w:color w:val="000000"/>
          <w:sz w:val="24"/>
          <w:szCs w:val="24"/>
        </w:rPr>
        <w:t>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крові;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загального холестерину, </w:t>
      </w:r>
      <w:proofErr w:type="spellStart"/>
      <w:r>
        <w:rPr>
          <w:rFonts w:ascii="Times New Roman" w:eastAsia="Times New Roman" w:hAnsi="Times New Roman" w:cs="Times New Roman"/>
          <w:color w:val="000000"/>
          <w:sz w:val="24"/>
          <w:szCs w:val="24"/>
        </w:rPr>
        <w:t>тригліцеридів</w:t>
      </w:r>
      <w:proofErr w:type="spellEnd"/>
      <w:r>
        <w:rPr>
          <w:rFonts w:ascii="Times New Roman" w:eastAsia="Times New Roman" w:hAnsi="Times New Roman" w:cs="Times New Roman"/>
          <w:color w:val="000000"/>
          <w:sz w:val="24"/>
          <w:szCs w:val="24"/>
        </w:rPr>
        <w:t xml:space="preserve"> крові та інших показників ліпідного профілю;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показників харчового статусу;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w:t>
      </w:r>
      <w:proofErr w:type="spellStart"/>
      <w:r>
        <w:rPr>
          <w:rFonts w:ascii="Times New Roman" w:eastAsia="Times New Roman" w:hAnsi="Times New Roman" w:cs="Times New Roman"/>
          <w:color w:val="000000"/>
          <w:sz w:val="24"/>
          <w:szCs w:val="24"/>
        </w:rPr>
        <w:t>паратиреоїдного</w:t>
      </w:r>
      <w:proofErr w:type="spellEnd"/>
      <w:r>
        <w:rPr>
          <w:rFonts w:ascii="Times New Roman" w:eastAsia="Times New Roman" w:hAnsi="Times New Roman" w:cs="Times New Roman"/>
          <w:color w:val="000000"/>
          <w:sz w:val="24"/>
          <w:szCs w:val="24"/>
        </w:rPr>
        <w:t xml:space="preserve"> гормону крові;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насичення </w:t>
      </w:r>
      <w:proofErr w:type="spellStart"/>
      <w:r>
        <w:rPr>
          <w:rFonts w:ascii="Times New Roman" w:eastAsia="Times New Roman" w:hAnsi="Times New Roman" w:cs="Times New Roman"/>
          <w:color w:val="000000"/>
          <w:sz w:val="24"/>
          <w:szCs w:val="24"/>
        </w:rPr>
        <w:t>трансферину</w:t>
      </w:r>
      <w:proofErr w:type="spellEnd"/>
      <w:r>
        <w:rPr>
          <w:rFonts w:ascii="Times New Roman" w:eastAsia="Times New Roman" w:hAnsi="Times New Roman" w:cs="Times New Roman"/>
          <w:color w:val="000000"/>
          <w:sz w:val="24"/>
          <w:szCs w:val="24"/>
        </w:rPr>
        <w:t xml:space="preserve"> і сироваткового </w:t>
      </w:r>
      <w:proofErr w:type="spellStart"/>
      <w:r>
        <w:rPr>
          <w:rFonts w:ascii="Times New Roman" w:eastAsia="Times New Roman" w:hAnsi="Times New Roman" w:cs="Times New Roman"/>
          <w:color w:val="000000"/>
          <w:sz w:val="24"/>
          <w:szCs w:val="24"/>
        </w:rPr>
        <w:t>феритину</w:t>
      </w:r>
      <w:proofErr w:type="spellEnd"/>
      <w:r>
        <w:rPr>
          <w:rFonts w:ascii="Times New Roman" w:eastAsia="Times New Roman" w:hAnsi="Times New Roman" w:cs="Times New Roman"/>
          <w:color w:val="000000"/>
          <w:sz w:val="24"/>
          <w:szCs w:val="24"/>
        </w:rPr>
        <w:t>;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w:t>
      </w:r>
      <w:proofErr w:type="spellStart"/>
      <w:r>
        <w:rPr>
          <w:rFonts w:ascii="Times New Roman" w:eastAsia="Times New Roman" w:hAnsi="Times New Roman" w:cs="Times New Roman"/>
          <w:color w:val="000000"/>
          <w:sz w:val="24"/>
          <w:szCs w:val="24"/>
        </w:rPr>
        <w:t>HBsAg</w:t>
      </w:r>
      <w:proofErr w:type="spellEnd"/>
      <w:r>
        <w:rPr>
          <w:rFonts w:ascii="Times New Roman" w:eastAsia="Times New Roman" w:hAnsi="Times New Roman" w:cs="Times New Roman"/>
          <w:color w:val="000000"/>
          <w:sz w:val="24"/>
          <w:szCs w:val="24"/>
        </w:rPr>
        <w:t xml:space="preserve">, антитіл до НCV та забезпечення позитивному </w:t>
      </w:r>
      <w:r>
        <w:rPr>
          <w:rFonts w:ascii="Times New Roman" w:eastAsia="Times New Roman" w:hAnsi="Times New Roman" w:cs="Times New Roman"/>
          <w:color w:val="323232"/>
          <w:sz w:val="24"/>
          <w:szCs w:val="24"/>
        </w:rPr>
        <w:t>пацієнту/пацієнтці</w:t>
      </w:r>
      <w:r>
        <w:rPr>
          <w:rFonts w:ascii="Times New Roman" w:eastAsia="Times New Roman" w:hAnsi="Times New Roman" w:cs="Times New Roman"/>
          <w:color w:val="000000"/>
          <w:sz w:val="24"/>
          <w:szCs w:val="24"/>
        </w:rPr>
        <w:t xml:space="preserve"> лікування в окремих залах або на виділених апаратах;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антитіл до ВІЛ, реакції </w:t>
      </w:r>
      <w:proofErr w:type="spellStart"/>
      <w:r>
        <w:rPr>
          <w:rFonts w:ascii="Times New Roman" w:eastAsia="Times New Roman" w:hAnsi="Times New Roman" w:cs="Times New Roman"/>
          <w:color w:val="000000"/>
          <w:sz w:val="24"/>
          <w:szCs w:val="24"/>
        </w:rPr>
        <w:t>Вассермана</w:t>
      </w:r>
      <w:proofErr w:type="spellEnd"/>
      <w:r>
        <w:rPr>
          <w:rFonts w:ascii="Times New Roman" w:eastAsia="Times New Roman" w:hAnsi="Times New Roman" w:cs="Times New Roman"/>
          <w:color w:val="000000"/>
          <w:sz w:val="24"/>
          <w:szCs w:val="24"/>
        </w:rPr>
        <w:t>; </w:t>
      </w:r>
    </w:p>
    <w:p w:rsid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визначення </w:t>
      </w:r>
      <w:proofErr w:type="spellStart"/>
      <w:r>
        <w:rPr>
          <w:rFonts w:ascii="Times New Roman" w:eastAsia="Times New Roman" w:hAnsi="Times New Roman" w:cs="Times New Roman"/>
          <w:color w:val="000000"/>
          <w:sz w:val="24"/>
          <w:szCs w:val="24"/>
        </w:rPr>
        <w:t>діалізної</w:t>
      </w:r>
      <w:proofErr w:type="spellEnd"/>
      <w:r>
        <w:rPr>
          <w:rFonts w:ascii="Times New Roman" w:eastAsia="Times New Roman" w:hAnsi="Times New Roman" w:cs="Times New Roman"/>
          <w:color w:val="000000"/>
          <w:sz w:val="24"/>
          <w:szCs w:val="24"/>
        </w:rPr>
        <w:t xml:space="preserve"> дози;</w:t>
      </w:r>
    </w:p>
    <w:p w:rsidR="00522D32" w:rsidRPr="00522D32" w:rsidRDefault="00522D32" w:rsidP="00522D32">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22D32">
        <w:rPr>
          <w:rFonts w:ascii="Times New Roman" w:eastAsia="Times New Roman" w:hAnsi="Times New Roman" w:cs="Times New Roman"/>
          <w:color w:val="000000"/>
          <w:sz w:val="24"/>
          <w:szCs w:val="24"/>
        </w:rPr>
        <w:t xml:space="preserve">визначення «сухої» ваги </w:t>
      </w:r>
      <w:r w:rsidRPr="00522D32">
        <w:rPr>
          <w:rFonts w:ascii="Times New Roman" w:eastAsia="Times New Roman" w:hAnsi="Times New Roman" w:cs="Times New Roman"/>
          <w:color w:val="323232"/>
          <w:sz w:val="24"/>
          <w:szCs w:val="24"/>
        </w:rPr>
        <w:t>пацієнта/пацієнтки</w:t>
      </w:r>
      <w:r w:rsidRPr="00522D32">
        <w:rPr>
          <w:rFonts w:ascii="Times New Roman" w:eastAsia="Times New Roman" w:hAnsi="Times New Roman" w:cs="Times New Roman"/>
          <w:color w:val="000000"/>
          <w:sz w:val="24"/>
          <w:szCs w:val="24"/>
        </w:rPr>
        <w:t>.</w:t>
      </w:r>
    </w:p>
    <w:p w:rsidR="00522D32" w:rsidRDefault="00522D32" w:rsidP="00522D32">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менеджменту судинного доступу: </w:t>
      </w:r>
    </w:p>
    <w:p w:rsidR="00522D32" w:rsidRDefault="00522D32" w:rsidP="00522D32">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попередження інфекційних ускладнень та тромбозу судинного доступу у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rPr>
        <w:t>; </w:t>
      </w:r>
    </w:p>
    <w:p w:rsidR="00522D32" w:rsidRDefault="00522D32" w:rsidP="00522D32">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направлення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rPr>
        <w:t xml:space="preserve"> до закладу охорони здоров’я (ЗОЗ) при ускладненнях, пов’язаних із судинним доступом. </w:t>
      </w:r>
    </w:p>
    <w:p w:rsidR="00522D32" w:rsidRDefault="00522D32" w:rsidP="00522D32">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своєчасної діагностики анемії та проведення її медикаментозного лікування. </w:t>
      </w:r>
    </w:p>
    <w:p w:rsidR="00522D32" w:rsidRDefault="00522D32" w:rsidP="00522D32">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лікарськими засобами відповідно до Національного переліку основних лікарських засобів, медичними виробами та розхідними матеріалами відповідно до галузевих стандартів у сфері охорони здоров’я. </w:t>
      </w:r>
    </w:p>
    <w:p w:rsidR="00522D32" w:rsidRDefault="00522D32" w:rsidP="00522D32">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своєчасної невідкладної медичної допомоги при виникненні станів, що загрожують життю, під час перебування пацієнта/пацієнтки у ЗОЗ. </w:t>
      </w:r>
    </w:p>
    <w:p w:rsidR="00522D32" w:rsidRDefault="00522D32" w:rsidP="00522D32">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Направлення </w:t>
      </w:r>
      <w:r>
        <w:rPr>
          <w:rFonts w:ascii="Times New Roman" w:eastAsia="Times New Roman" w:hAnsi="Times New Roman" w:cs="Times New Roman"/>
          <w:color w:val="323232"/>
          <w:sz w:val="24"/>
          <w:szCs w:val="24"/>
        </w:rPr>
        <w:t>пацієнта/пацієнтки</w:t>
      </w:r>
      <w:r>
        <w:rPr>
          <w:rFonts w:ascii="Times New Roman" w:eastAsia="Times New Roman" w:hAnsi="Times New Roman" w:cs="Times New Roman"/>
          <w:color w:val="000000"/>
          <w:sz w:val="24"/>
          <w:szCs w:val="24"/>
        </w:rPr>
        <w:t xml:space="preserve"> для отримання спеціалізованої медичної допомоги, інших медичних послуг. </w:t>
      </w:r>
    </w:p>
    <w:p w:rsidR="00522D32" w:rsidRDefault="00522D32" w:rsidP="00522D32">
      <w:pPr>
        <w:spacing w:after="240"/>
      </w:pPr>
    </w:p>
    <w:p w:rsidR="00522D32" w:rsidRDefault="00522D32" w:rsidP="00522D32">
      <w:pPr>
        <w:pBdr>
          <w:top w:val="nil"/>
          <w:left w:val="nil"/>
          <w:bottom w:val="nil"/>
          <w:right w:val="nil"/>
          <w:between w:val="nil"/>
        </w:pBdr>
        <w:spacing w:line="240" w:lineRule="auto"/>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ЛІКУВАННЯ ПАЦІЄНТІВ МЕТОДОМ ГЕМОДІАЛІЗУ В АМБУЛАТОРНИХ УМОВАХ</w:t>
      </w:r>
      <w:r>
        <w:rPr>
          <w:rFonts w:ascii="Times New Roman" w:eastAsia="Times New Roman" w:hAnsi="Times New Roman" w:cs="Times New Roman"/>
          <w:b/>
          <w:color w:val="000000"/>
          <w:sz w:val="24"/>
          <w:szCs w:val="24"/>
        </w:rPr>
        <w:br/>
      </w:r>
      <w:r>
        <w:rPr>
          <w:rFonts w:ascii="Times New Roman" w:eastAsia="Times New Roman" w:hAnsi="Times New Roman" w:cs="Times New Roman"/>
          <w:b/>
          <w:color w:val="000000"/>
          <w:sz w:val="24"/>
          <w:szCs w:val="24"/>
        </w:rPr>
        <w:br/>
        <w:t>Умови закупівлі медичних послуг</w:t>
      </w:r>
    </w:p>
    <w:p w:rsidR="00522D32" w:rsidRDefault="00522D32" w:rsidP="00522D32"/>
    <w:p w:rsidR="00522D32" w:rsidRDefault="00522D32" w:rsidP="00522D32">
      <w:pPr>
        <w:pBdr>
          <w:top w:val="nil"/>
          <w:left w:val="nil"/>
          <w:bottom w:val="nil"/>
          <w:right w:val="nil"/>
          <w:between w:val="nil"/>
        </w:pBd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Умови надання послуги: </w:t>
      </w:r>
      <w:r>
        <w:rPr>
          <w:rFonts w:ascii="Times New Roman" w:eastAsia="Times New Roman" w:hAnsi="Times New Roman" w:cs="Times New Roman"/>
          <w:color w:val="000000"/>
          <w:sz w:val="24"/>
          <w:szCs w:val="24"/>
        </w:rPr>
        <w:t>амбулаторно. </w:t>
      </w:r>
    </w:p>
    <w:p w:rsidR="00522D32" w:rsidRDefault="00522D32" w:rsidP="00522D32">
      <w:pPr>
        <w:pBdr>
          <w:top w:val="nil"/>
          <w:left w:val="nil"/>
          <w:bottom w:val="nil"/>
          <w:right w:val="nil"/>
          <w:between w:val="nil"/>
        </w:pBdr>
        <w:spacing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lastRenderedPageBreak/>
        <w:t>Підстави надання послуги</w:t>
      </w:r>
      <w:r>
        <w:rPr>
          <w:rFonts w:ascii="Times New Roman" w:eastAsia="Times New Roman" w:hAnsi="Times New Roman" w:cs="Times New Roman"/>
          <w:color w:val="000000"/>
          <w:sz w:val="24"/>
          <w:szCs w:val="24"/>
        </w:rPr>
        <w:t>: направлення лікаря-нефролога/ лікаря-нефролога дитячого при встановленому діагнозі:</w:t>
      </w:r>
    </w:p>
    <w:p w:rsidR="00522D32" w:rsidRDefault="00522D32" w:rsidP="00522D32">
      <w:pPr>
        <w:numPr>
          <w:ilvl w:val="0"/>
          <w:numId w:val="3"/>
        </w:numPr>
        <w:pBdr>
          <w:top w:val="nil"/>
          <w:left w:val="nil"/>
          <w:bottom w:val="nil"/>
          <w:right w:val="nil"/>
          <w:between w:val="nil"/>
        </w:pBdr>
        <w:spacing w:line="240" w:lineRule="auto"/>
        <w:jc w:val="both"/>
      </w:pPr>
      <w:r>
        <w:rPr>
          <w:rFonts w:ascii="Times New Roman" w:eastAsia="Times New Roman" w:hAnsi="Times New Roman" w:cs="Times New Roman"/>
          <w:color w:val="000000"/>
          <w:sz w:val="24"/>
          <w:szCs w:val="24"/>
        </w:rPr>
        <w:t>N18.4 Хронічна хвороба нирок, стадія 4 (виключно до показів, вказаних у галузевих стандартах у сфері охорони здоров’я); </w:t>
      </w:r>
    </w:p>
    <w:p w:rsidR="00522D32" w:rsidRDefault="00522D32" w:rsidP="00522D32">
      <w:pPr>
        <w:numPr>
          <w:ilvl w:val="0"/>
          <w:numId w:val="3"/>
        </w:numPr>
        <w:pBdr>
          <w:top w:val="nil"/>
          <w:left w:val="nil"/>
          <w:bottom w:val="nil"/>
          <w:right w:val="nil"/>
          <w:between w:val="nil"/>
        </w:pBdr>
        <w:spacing w:line="240" w:lineRule="auto"/>
        <w:jc w:val="both"/>
      </w:pPr>
      <w:r>
        <w:rPr>
          <w:rFonts w:ascii="Times New Roman" w:eastAsia="Times New Roman" w:hAnsi="Times New Roman" w:cs="Times New Roman"/>
          <w:color w:val="000000"/>
          <w:sz w:val="24"/>
          <w:szCs w:val="24"/>
        </w:rPr>
        <w:t>N18.5 Хронічна хвороба нирок, стадія 5; </w:t>
      </w:r>
    </w:p>
    <w:p w:rsidR="00522D32" w:rsidRDefault="00522D32" w:rsidP="00522D32">
      <w:pPr>
        <w:numPr>
          <w:ilvl w:val="0"/>
          <w:numId w:val="3"/>
        </w:numPr>
        <w:pBdr>
          <w:top w:val="nil"/>
          <w:left w:val="nil"/>
          <w:bottom w:val="nil"/>
          <w:right w:val="nil"/>
          <w:between w:val="nil"/>
        </w:pBdr>
        <w:spacing w:line="240" w:lineRule="auto"/>
        <w:jc w:val="both"/>
      </w:pPr>
      <w:r>
        <w:rPr>
          <w:rFonts w:ascii="Times New Roman" w:eastAsia="Times New Roman" w:hAnsi="Times New Roman" w:cs="Times New Roman"/>
          <w:color w:val="000000"/>
          <w:sz w:val="24"/>
          <w:szCs w:val="24"/>
        </w:rPr>
        <w:t>N18.8 Інші прояви хронічної ниркової недостатності; </w:t>
      </w:r>
    </w:p>
    <w:p w:rsidR="00522D32" w:rsidRDefault="00522D32" w:rsidP="00522D32">
      <w:pPr>
        <w:numPr>
          <w:ilvl w:val="0"/>
          <w:numId w:val="3"/>
        </w:numPr>
        <w:pBdr>
          <w:top w:val="nil"/>
          <w:left w:val="nil"/>
          <w:bottom w:val="nil"/>
          <w:right w:val="nil"/>
          <w:between w:val="nil"/>
        </w:pBdr>
        <w:spacing w:line="240" w:lineRule="auto"/>
        <w:jc w:val="both"/>
      </w:pPr>
      <w:r>
        <w:rPr>
          <w:rFonts w:ascii="Times New Roman" w:eastAsia="Times New Roman" w:hAnsi="Times New Roman" w:cs="Times New Roman"/>
          <w:color w:val="000000"/>
          <w:sz w:val="24"/>
          <w:szCs w:val="24"/>
        </w:rPr>
        <w:t>N18.9 Хронічна хвороба нирок неуточнена; </w:t>
      </w:r>
    </w:p>
    <w:p w:rsidR="00522D32" w:rsidRDefault="00522D32" w:rsidP="00522D32">
      <w:pPr>
        <w:numPr>
          <w:ilvl w:val="0"/>
          <w:numId w:val="3"/>
        </w:numPr>
        <w:pBdr>
          <w:top w:val="nil"/>
          <w:left w:val="nil"/>
          <w:bottom w:val="nil"/>
          <w:right w:val="nil"/>
          <w:between w:val="nil"/>
        </w:pBdr>
        <w:spacing w:line="240" w:lineRule="auto"/>
        <w:jc w:val="both"/>
      </w:pPr>
      <w:r>
        <w:rPr>
          <w:rFonts w:ascii="Times New Roman" w:eastAsia="Times New Roman" w:hAnsi="Times New Roman" w:cs="Times New Roman"/>
          <w:color w:val="000000"/>
          <w:sz w:val="24"/>
          <w:szCs w:val="24"/>
        </w:rPr>
        <w:t>N19 Ниркова недостатність неуточнена. </w:t>
      </w:r>
    </w:p>
    <w:p w:rsidR="00522D32" w:rsidRDefault="00522D32" w:rsidP="00522D32"/>
    <w:p w:rsidR="00522D32" w:rsidRDefault="00522D32" w:rsidP="00522D32">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організації надання послуги: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у ЗОЗ структурного підрозділу, що проводить гемодіаліз в амбулаторних умовах.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можливості вільного вибору пацієнтами ЗОЗ, де проводиться лікування методом гемодіалізу, при наявності вільних </w:t>
      </w:r>
      <w:proofErr w:type="spellStart"/>
      <w:r>
        <w:rPr>
          <w:rFonts w:ascii="Times New Roman" w:eastAsia="Times New Roman" w:hAnsi="Times New Roman" w:cs="Times New Roman"/>
          <w:color w:val="000000"/>
          <w:sz w:val="24"/>
          <w:szCs w:val="24"/>
        </w:rPr>
        <w:t>діалізних</w:t>
      </w:r>
      <w:proofErr w:type="spellEnd"/>
      <w:r>
        <w:rPr>
          <w:rFonts w:ascii="Times New Roman" w:eastAsia="Times New Roman" w:hAnsi="Times New Roman" w:cs="Times New Roman"/>
          <w:color w:val="000000"/>
          <w:sz w:val="24"/>
          <w:szCs w:val="24"/>
        </w:rPr>
        <w:t xml:space="preserve"> місць у ЗОЗ (відділенні).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лабораторної діагностики у ЗОЗ 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 передбаченої відповідною специфікацією надання медичних послуг.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хімічної та мікробіологічної безпеки при проведенні гемодіалізу (контроль якості води, мікробіологічні дослідження змивів з </w:t>
      </w:r>
      <w:proofErr w:type="spellStart"/>
      <w:r>
        <w:rPr>
          <w:rFonts w:ascii="Times New Roman" w:eastAsia="Times New Roman" w:hAnsi="Times New Roman" w:cs="Times New Roman"/>
          <w:color w:val="000000"/>
          <w:sz w:val="24"/>
          <w:szCs w:val="24"/>
        </w:rPr>
        <w:t>діалізних</w:t>
      </w:r>
      <w:proofErr w:type="spellEnd"/>
      <w:r>
        <w:rPr>
          <w:rFonts w:ascii="Times New Roman" w:eastAsia="Times New Roman" w:hAnsi="Times New Roman" w:cs="Times New Roman"/>
          <w:color w:val="000000"/>
          <w:sz w:val="24"/>
          <w:szCs w:val="24"/>
        </w:rPr>
        <w:t xml:space="preserve"> апаратів та залів, стерильність матеріалів та інструментів тощо).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для своєчасного та ефективного надання допомоги пацієнтам.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w:t>
      </w:r>
      <w:r>
        <w:rPr>
          <w:rFonts w:ascii="Times New Roman" w:eastAsia="Times New Roman" w:hAnsi="Times New Roman" w:cs="Times New Roman"/>
          <w:color w:val="000000"/>
          <w:sz w:val="24"/>
          <w:szCs w:val="24"/>
        </w:rPr>
        <w:lastRenderedPageBreak/>
        <w:t xml:space="preserve">виробів, необхідних для лікування пацієнтів,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 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522D32" w:rsidRDefault="00522D32" w:rsidP="00522D32">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522D32" w:rsidRDefault="00522D32" w:rsidP="00522D32"/>
    <w:p w:rsidR="00522D32" w:rsidRDefault="00522D32" w:rsidP="00522D32">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 </w:t>
      </w:r>
    </w:p>
    <w:p w:rsidR="00522D32" w:rsidRDefault="00522D32" w:rsidP="00522D32">
      <w:pPr>
        <w:numPr>
          <w:ilvl w:val="0"/>
          <w:numId w:val="6"/>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 </w:t>
      </w:r>
    </w:p>
    <w:p w:rsidR="00522D32" w:rsidRDefault="00522D32" w:rsidP="00522D3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Лікар-нефролог та/або лікар-нефролог дитячий (за умови надання допомоги дітям) – щонайменше одна особа із зазначеного переліку, яка працює за основним місцем роботи у цьому закладі. </w:t>
      </w:r>
    </w:p>
    <w:p w:rsidR="00522D32" w:rsidRDefault="00522D32" w:rsidP="00522D3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Сестра медична – щонайменше 2 особи, які працюють за основним місцем роботи у цьому закладі. </w:t>
      </w:r>
    </w:p>
    <w:p w:rsidR="00522D32" w:rsidRDefault="00522D32" w:rsidP="00522D32"/>
    <w:p w:rsidR="00522D32" w:rsidRDefault="00522D32" w:rsidP="00522D32">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Вимоги до переліку обладнання: </w:t>
      </w:r>
    </w:p>
    <w:p w:rsidR="00522D32" w:rsidRDefault="00522D32" w:rsidP="00522D32">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w:t>
      </w:r>
      <w:r>
        <w:rPr>
          <w:rFonts w:ascii="Times New Roman" w:eastAsia="Times New Roman" w:hAnsi="Times New Roman" w:cs="Times New Roman"/>
          <w:color w:val="000000"/>
          <w:sz w:val="24"/>
          <w:szCs w:val="24"/>
          <w:highlight w:val="white"/>
        </w:rPr>
        <w:t>закладі</w:t>
      </w:r>
      <w:r>
        <w:rPr>
          <w:rFonts w:ascii="Times New Roman" w:eastAsia="Times New Roman" w:hAnsi="Times New Roman" w:cs="Times New Roman"/>
          <w:color w:val="000000"/>
          <w:sz w:val="24"/>
          <w:szCs w:val="24"/>
        </w:rPr>
        <w:t>: </w:t>
      </w:r>
    </w:p>
    <w:p w:rsidR="00522D32" w:rsidRDefault="00522D32" w:rsidP="00522D3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резервне джерело електропостачання; </w:t>
      </w:r>
    </w:p>
    <w:p w:rsidR="00522D32" w:rsidRDefault="00522D32" w:rsidP="00522D3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автоматичне перемикальне комутаційне обладнання відповідно до ДСТУ IEC 60947-6-1: 2007. </w:t>
      </w:r>
    </w:p>
    <w:p w:rsidR="00522D32" w:rsidRDefault="00522D32" w:rsidP="00522D3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місцем надання медичних послуг: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апарат для проведення гемодіалізу;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спеціалізована сертифікована система очищення води для гемодіалізу разом з контуром </w:t>
      </w:r>
      <w:proofErr w:type="spellStart"/>
      <w:r>
        <w:rPr>
          <w:rFonts w:ascii="Times New Roman" w:eastAsia="Times New Roman" w:hAnsi="Times New Roman" w:cs="Times New Roman"/>
          <w:color w:val="000000"/>
          <w:sz w:val="24"/>
          <w:szCs w:val="24"/>
        </w:rPr>
        <w:t>перміату</w:t>
      </w:r>
      <w:proofErr w:type="spellEnd"/>
      <w:r>
        <w:rPr>
          <w:rFonts w:ascii="Times New Roman" w:eastAsia="Times New Roman" w:hAnsi="Times New Roman" w:cs="Times New Roman"/>
          <w:color w:val="000000"/>
          <w:sz w:val="24"/>
          <w:szCs w:val="24"/>
        </w:rPr>
        <w:t>;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 багатоканальний;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тонометр та/або тонометр педіатричний з манжетками для дітей різного віку;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ваги медичні;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термометр безконтактний; </w:t>
      </w:r>
    </w:p>
    <w:p w:rsidR="00522D32" w:rsidRDefault="00522D32" w:rsidP="00522D3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аптечка для надання невідкладної допомоги. </w:t>
      </w:r>
    </w:p>
    <w:p w:rsidR="00522D32" w:rsidRDefault="00522D32" w:rsidP="00522D32"/>
    <w:p w:rsidR="00522D32" w:rsidRDefault="00522D32" w:rsidP="00522D32">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Інші вимоги: </w:t>
      </w:r>
    </w:p>
    <w:p w:rsidR="00F526A8" w:rsidRPr="00522D32" w:rsidRDefault="00522D32" w:rsidP="00522D32">
      <w:pPr>
        <w:pStyle w:val="a3"/>
        <w:numPr>
          <w:ilvl w:val="3"/>
          <w:numId w:val="2"/>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522D32">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нефрологія та/або дитяча нефрологія.</w:t>
      </w:r>
    </w:p>
    <w:sectPr w:rsidR="00F526A8" w:rsidRPr="00522D3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64D9"/>
    <w:multiLevelType w:val="multilevel"/>
    <w:tmpl w:val="5528384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CF7528"/>
    <w:multiLevelType w:val="multilevel"/>
    <w:tmpl w:val="841A6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147D4"/>
    <w:multiLevelType w:val="multilevel"/>
    <w:tmpl w:val="C9DA48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B53C7F"/>
    <w:multiLevelType w:val="multilevel"/>
    <w:tmpl w:val="0F8A898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38D595E"/>
    <w:multiLevelType w:val="multilevel"/>
    <w:tmpl w:val="7CBE23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382959"/>
    <w:multiLevelType w:val="multilevel"/>
    <w:tmpl w:val="E3F01C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4A82C90"/>
    <w:multiLevelType w:val="multilevel"/>
    <w:tmpl w:val="84702C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B750C97"/>
    <w:multiLevelType w:val="multilevel"/>
    <w:tmpl w:val="4E28A6F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346A05"/>
    <w:multiLevelType w:val="multilevel"/>
    <w:tmpl w:val="0706B2D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BED6915"/>
    <w:multiLevelType w:val="multilevel"/>
    <w:tmpl w:val="0D56185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702217"/>
    <w:multiLevelType w:val="multilevel"/>
    <w:tmpl w:val="1108B3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8F95B19"/>
    <w:multiLevelType w:val="multilevel"/>
    <w:tmpl w:val="532418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69167C0"/>
    <w:multiLevelType w:val="multilevel"/>
    <w:tmpl w:val="F1C83A9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3">
    <w:abstractNumId w:val="4"/>
  </w:num>
  <w:num w:numId="4">
    <w:abstractNumId w:val="2"/>
  </w:num>
  <w:num w:numId="5">
    <w:abstractNumId w:val="6"/>
  </w:num>
  <w:num w:numId="6">
    <w:abstractNumId w:val="5"/>
  </w:num>
  <w:num w:numId="7">
    <w:abstractNumId w:val="12"/>
  </w:num>
  <w:num w:numId="8">
    <w:abstractNumId w:val="10"/>
  </w:num>
  <w:num w:numId="9">
    <w:abstractNumId w:val="7"/>
  </w:num>
  <w:num w:numId="10">
    <w:abstractNumId w:val="8"/>
  </w:num>
  <w:num w:numId="11">
    <w:abstractNumId w:val="9"/>
  </w:num>
  <w:num w:numId="12">
    <w:abstractNumId w:val="11"/>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F"/>
    <w:rsid w:val="000428A5"/>
    <w:rsid w:val="001B7AF3"/>
    <w:rsid w:val="0025771F"/>
    <w:rsid w:val="003227AA"/>
    <w:rsid w:val="004D0D9F"/>
    <w:rsid w:val="00522D32"/>
    <w:rsid w:val="005D3A95"/>
    <w:rsid w:val="006238E1"/>
    <w:rsid w:val="006A0A34"/>
    <w:rsid w:val="009A0DF3"/>
    <w:rsid w:val="009F728E"/>
    <w:rsid w:val="00DC37C0"/>
    <w:rsid w:val="00EA5BE9"/>
    <w:rsid w:val="00F06F71"/>
    <w:rsid w:val="00FA43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9E46"/>
  <w15:chartTrackingRefBased/>
  <w15:docId w15:val="{0F08E77A-F164-47FC-98EF-FB9130EC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F71"/>
    <w:rPr>
      <w:rFonts w:ascii="Calibri" w:eastAsia="Calibri" w:hAnsi="Calibri" w:cs="Calibri"/>
      <w:lang w:eastAsia="uk-UA"/>
    </w:rPr>
  </w:style>
  <w:style w:type="paragraph" w:styleId="1">
    <w:name w:val="heading 1"/>
    <w:basedOn w:val="a"/>
    <w:link w:val="10"/>
    <w:uiPriority w:val="9"/>
    <w:qFormat/>
    <w:rsid w:val="00F06F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F71"/>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6A0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4750</Words>
  <Characters>2708</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2022-11-29T15:23:00Z</dcterms:created>
  <dcterms:modified xsi:type="dcterms:W3CDTF">2022-11-29T15:23:00Z</dcterms:modified>
</cp:coreProperties>
</file>