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1" Type="http://schemas.openxmlformats.org/officeDocument/2006/relationships/officeDocument" Target="/word/document.xml" /><Relationship Id="coreR1" Type="http://schemas.openxmlformats.org/package/2006/relationships/metadata/core-properties" Target="/docProps/core.xml" /><Relationship Id="appR1" Type="http://schemas.openxmlformats.org/officeDocument/2006/relationships/extended-properties" Target="/docProps/app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xmlns:wpg="http://schemas.microsoft.com/office/word/2010/wordprocessingGroup" xmlns:wpc="http://schemas.microsoft.com/office/word/2010/wordprocessingCanvas" xmlns:w14="http://schemas.microsoft.com/office/word/2010/wordml" xmlns:w15="http://schemas.microsoft.com/office/word/2012/wordml" xmlns:cx1="http://schemas.microsoft.com/office/drawing/2015/9/8/chartex" xmlns:cx2="http://schemas.microsoft.com/office/drawing/2015/10/21/chartex" mc:Ignorable="wp14 w14 w15">
  <w:body>
    <w:p>
      <w:pPr>
        <w:spacing w:lineRule="auto" w:line="240" w:after="0" w:beforeAutospacing="0" w:afterAutospacing="0"/>
        <w:jc w:val="center"/>
        <w:rPr>
          <w:rFonts w:ascii="Times New Roman" w:hAnsi="Times New Roman"/>
          <w:b w:val="1"/>
          <w:bCs w:val="1"/>
          <w:sz w:val="28"/>
          <w:szCs w:val="28"/>
        </w:rPr>
      </w:pPr>
      <w:r>
        <w:rPr>
          <w:rFonts w:ascii="Times New Roman" w:hAnsi="Times New Roman"/>
          <w:b w:val="1"/>
          <w:bCs w:val="1"/>
          <w:sz w:val="28"/>
          <w:szCs w:val="28"/>
        </w:rPr>
        <w:t>План</w:t>
      </w:r>
      <w:r>
        <w:rPr>
          <w:b w:val="1"/>
          <w:bCs w:val="1"/>
        </w:rPr>
        <w:t xml:space="preserve"> </w:t>
      </w:r>
      <w:r>
        <w:rPr>
          <w:rFonts w:ascii="Times New Roman" w:hAnsi="Times New Roman"/>
          <w:b w:val="1"/>
          <w:bCs w:val="1"/>
          <w:sz w:val="28"/>
          <w:szCs w:val="28"/>
        </w:rPr>
        <w:t xml:space="preserve">усунення виявлених порушень КНП “Миколаївська обласна клінічна лікарня” </w:t>
      </w:r>
    </w:p>
    <w:p>
      <w:pPr>
        <w:spacing w:lineRule="auto" w:line="240" w:after="0" w:beforeAutospacing="0" w:afterAutospacing="0"/>
        <w:jc w:val="center"/>
        <w:rPr>
          <w:rFonts w:ascii="Times New Roman" w:hAnsi="Times New Roman"/>
          <w:b w:val="1"/>
          <w:bCs w:val="1"/>
          <w:sz w:val="28"/>
          <w:szCs w:val="28"/>
        </w:rPr>
      </w:pPr>
      <w:r>
        <w:rPr>
          <w:rFonts w:ascii="Times New Roman" w:hAnsi="Times New Roman"/>
          <w:b w:val="1"/>
          <w:bCs w:val="1"/>
          <w:sz w:val="28"/>
          <w:szCs w:val="28"/>
        </w:rPr>
        <w:t>Миколаївської обласної ради (код ЄДРПОУ 01998383)</w:t>
      </w:r>
    </w:p>
    <w:p>
      <w:pPr>
        <w:spacing w:lineRule="auto" w:line="240" w:after="0" w:beforeAutospacing="0" w:afterAutospacing="0"/>
        <w:jc w:val="center"/>
        <w:rPr>
          <w:rFonts w:ascii="Times New Roman" w:hAnsi="Times New Roman"/>
          <w:b w:val="1"/>
          <w:bCs w:val="1"/>
          <w:sz w:val="28"/>
          <w:szCs w:val="28"/>
        </w:rPr>
      </w:pPr>
    </w:p>
    <w:p>
      <w:pPr>
        <w:spacing w:lineRule="auto" w:line="240" w:after="0" w:beforeAutospacing="0" w:afterAutospacing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результатами планового документального моніторингу та розгляду пояснень та/або заперечень КНП “Миколаївська обласна клінічна лікарня” Миколаївської обласної ради (код ЄДРПОУ 01998383)</w:t>
      </w:r>
      <w:r>
        <w:t xml:space="preserve"> </w:t>
      </w:r>
      <w:r>
        <w:rPr>
          <w:rFonts w:ascii="Times New Roman" w:hAnsi="Times New Roman"/>
          <w:sz w:val="28"/>
          <w:szCs w:val="28"/>
        </w:rPr>
        <w:t>Першою комісією з розгляду пояснень та/або заперечень надавача медичних послуг при здійсненні моніторингу дотримання надавачами медичних послуг умов договорів про медичне обслуговування населення за програмою медичних гарантій, були встановлені невідповідності умовам Договору № 3488-E124-P000</w:t>
      </w:r>
      <w:r>
        <w:t xml:space="preserve"> </w:t>
      </w:r>
      <w:r>
        <w:rPr>
          <w:rFonts w:ascii="Times New Roman" w:hAnsi="Times New Roman"/>
          <w:sz w:val="28"/>
          <w:szCs w:val="28"/>
        </w:rPr>
        <w:t>про медичне обслуговування населення за програмою медичних гарантій КНП “Миколаївська обласна клінічна лікарня” Миколаївської обласної ради (код ЄДРПОУ 01998383):</w:t>
      </w:r>
    </w:p>
    <w:tbl>
      <w:tblPr>
        <w:tblStyle w:val="T2"/>
        <w:tblW w:w="0" w:type="auto"/>
        <w:tblLayout w:type="fixed"/>
        <w:tblLook w:val="04A0"/>
      </w:tblPr>
      <w:tblGrid/>
      <w:tr>
        <w:tc>
          <w:tcPr>
            <w:tcW w:w="562" w:type="dxa"/>
          </w:tcPr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2552" w:type="dxa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 w:val="1"/>
                <w:sz w:val="24"/>
                <w:szCs w:val="24"/>
              </w:rPr>
              <w:t>Пункт договору</w:t>
            </w:r>
          </w:p>
        </w:tc>
        <w:tc>
          <w:tcPr>
            <w:tcW w:w="3685" w:type="dxa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 w:val="1"/>
                <w:sz w:val="24"/>
                <w:szCs w:val="24"/>
              </w:rPr>
              <w:t>Зміст</w:t>
            </w:r>
          </w:p>
        </w:tc>
        <w:tc>
          <w:tcPr>
            <w:tcW w:w="2268" w:type="dxa"/>
          </w:tcPr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Остаточне рішення</w:t>
            </w:r>
          </w:p>
        </w:tc>
        <w:tc>
          <w:tcPr>
            <w:tcW w:w="4253" w:type="dxa"/>
          </w:tcPr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Перелік документів та інформації, які надавач зобов’язаний надати до НСЗУ для підтвердження усунення порушення</w:t>
            </w:r>
          </w:p>
        </w:tc>
        <w:tc>
          <w:tcPr>
            <w:tcW w:w="2374" w:type="dxa"/>
          </w:tcPr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Строк для усунення порушення</w:t>
            </w:r>
          </w:p>
        </w:tc>
      </w:tr>
      <w:tr>
        <w:tc>
          <w:tcPr>
            <w:tcW w:w="562" w:type="dxa"/>
          </w:tcPr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552" w:type="dxa"/>
          </w:tcPr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Пункт 2 Додаткових вимог до організації надання послуги Умов закупівлі, що викладені в Додатку №2.7 до Договору (пп. 1 п. 43 Договору передбачено здійснення замовником перерахунку сплачених коштів за невідповідність надавача вказаному пункту Вимог)</w:t>
            </w:r>
          </w:p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Наявність відділення інтенсивної терапії для вагітної, роділлі, породіллі.</w:t>
            </w:r>
          </w:p>
        </w:tc>
        <w:tc>
          <w:tcPr>
            <w:tcW w:w="2268" w:type="dxa"/>
          </w:tcPr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відповідав у період з 01.01.2024 по 29.02.2024</w:t>
            </w:r>
          </w:p>
        </w:tc>
        <w:tc>
          <w:tcPr>
            <w:tcW w:w="4253" w:type="dxa"/>
          </w:tcPr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.Структура закладу.</w:t>
            </w:r>
          </w:p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2.Положення про відділення інтенсивної терапії для вагітної, роділлі, породіллі.</w:t>
            </w:r>
          </w:p>
        </w:tc>
        <w:tc>
          <w:tcPr>
            <w:tcW w:w="2374" w:type="dxa"/>
          </w:tcPr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>
        <w:tc>
          <w:tcPr>
            <w:tcW w:w="562" w:type="dxa"/>
          </w:tcPr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552" w:type="dxa"/>
          </w:tcPr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Пункт 4 Додаткових вимог до організації надання послуги Умов закупівлі, що викладені в Додатку №2.7 до Договору (пп. 1 п. 43 Договору передбачено здійснення замовником перерахунку сплачених коштів за невідповідність надавача вказаному пункту Вимог)</w:t>
            </w:r>
          </w:p>
        </w:tc>
        <w:tc>
          <w:tcPr>
            <w:tcW w:w="3685" w:type="dxa"/>
          </w:tcPr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Наявність пологової зали для розродження жінок з багатоплідною вагітністю, в якій є щонайменше 2 обладнаних місця, виділених для реанімації та стабілізації стану новонароджених.</w:t>
            </w:r>
          </w:p>
        </w:tc>
        <w:tc>
          <w:tcPr>
            <w:tcW w:w="2268" w:type="dxa"/>
          </w:tcPr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відповідав у період з 01.01.2024 по 29.02.2024</w:t>
            </w:r>
          </w:p>
        </w:tc>
        <w:tc>
          <w:tcPr>
            <w:tcW w:w="4253" w:type="dxa"/>
          </w:tcPr>
          <w:p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  <w:lang w:eastAsia="uk-UA"/>
              </w:rPr>
              <w:t>1.Структура Надавача.</w:t>
            </w:r>
          </w:p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2.Положення про структурний підрозділ надавача, який містить пологову залу.</w:t>
              <w:br w:type="textWrapping"/>
              <w:t>Інформація про структуру/кількість ліжок у пологовій залі для розродження жінок з багатоплідною вагітністю, наявність/відсутність щонайменше 2 обладнаних місця, виділених для реанімації та стабілізації стану новонароджених.</w:t>
            </w:r>
          </w:p>
        </w:tc>
        <w:tc>
          <w:tcPr>
            <w:tcW w:w="2374" w:type="dxa"/>
          </w:tcPr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>
        <w:tc>
          <w:tcPr>
            <w:tcW w:w="562" w:type="dxa"/>
          </w:tcPr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552" w:type="dxa"/>
          </w:tcPr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Додаткові вимоги до переліку обладнання Умов закупівлі, що викладені в Додатку № 2.7 до Договору (пп. 1 п. 43 Договору передбачено здійснення замовником перерахунку сплачених коштів за невідповідність надавача вказаному пункту Вимог)</w:t>
            </w:r>
          </w:p>
        </w:tc>
        <w:tc>
          <w:tcPr>
            <w:tcW w:w="3685" w:type="dxa"/>
          </w:tcPr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операційному та пологовому блоці: </w:t>
            </w:r>
          </w:p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Відкрита реанімаційна система з сервоконтролем температури тіла – щонайменше 3</w:t>
            </w:r>
          </w:p>
        </w:tc>
        <w:tc>
          <w:tcPr>
            <w:tcW w:w="2268" w:type="dxa"/>
          </w:tcPr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відповідав у період з 01.01.2024 по 29.02.2024</w:t>
            </w:r>
          </w:p>
        </w:tc>
        <w:tc>
          <w:tcPr>
            <w:tcW w:w="4253" w:type="dxa"/>
          </w:tcPr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uk-UA"/>
              </w:rPr>
              <w:t>1.Інвентарні картки на обладнання.</w:t>
              <w:br w:type="textWrapping"/>
              <w:t>2.Акти введення в експлуатацію обладнання.</w:t>
              <w:br w:type="textWrapping"/>
              <w:t>3.Для малоцінних необоротних матеріальних активів у разі відсутності акту введення в експлуатацію - акт приймання-передачі, видаткова накладна тощо та оборотні відомості по обліку МНМА (помісячно).</w:t>
              <w:br w:type="textWrapping"/>
              <w:t>4.Документи щодо технічних характеристик обладнання.</w:t>
              <w:br w:type="textWrapping"/>
              <w:t>5.Оборотно-сальдові (обігові) відомості по обліку обладнання, що використовується для надання медичної допомоги при пологах (помісячно, із зазначенням, в т.ч., інвентарних/номенклатурних номерів обладнання).</w:t>
            </w:r>
          </w:p>
        </w:tc>
        <w:tc>
          <w:tcPr>
            <w:tcW w:w="2374" w:type="dxa"/>
          </w:tcPr>
          <w:p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>
      <w:pPr>
        <w:spacing w:lineRule="auto" w:line="240" w:after="0" w:beforeAutospacing="0" w:afterAutospacing="0"/>
        <w:ind w:firstLine="567"/>
        <w:jc w:val="both"/>
        <w:rPr>
          <w:rFonts w:ascii="Times New Roman" w:hAnsi="Times New Roman"/>
          <w:sz w:val="28"/>
          <w:szCs w:val="28"/>
        </w:rPr>
      </w:pPr>
    </w:p>
    <w:p>
      <w:pPr>
        <w:spacing w:lineRule="auto" w:line="240" w:after="0" w:beforeAutospacing="0" w:afterAutospacing="0"/>
        <w:ind w:firstLine="567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T2"/>
        <w:tblW w:w="0" w:type="auto"/>
        <w:tblBorders>
          <w:top w:val="none" w:sz="0" w:space="0" w:shadow="0" w:frame="0" w:color="auto"/>
          <w:left w:val="none" w:sz="0" w:space="0" w:shadow="0" w:frame="0" w:color="auto"/>
          <w:bottom w:val="none" w:sz="0" w:space="0" w:shadow="0" w:frame="0" w:color="auto"/>
          <w:right w:val="none" w:sz="0" w:space="0" w:shadow="0" w:frame="0" w:color="auto"/>
          <w:insideH w:val="none" w:sz="0" w:space="0" w:shadow="0" w:frame="0" w:color="auto"/>
          <w:insideV w:val="none" w:sz="0" w:space="0" w:shadow="0" w:frame="0" w:color="auto"/>
        </w:tblBorders>
        <w:tblLook w:val="04A0"/>
      </w:tblPr>
      <w:tblGrid/>
      <w:tr>
        <w:tc>
          <w:tcPr>
            <w:tcW w:w="7847" w:type="dxa"/>
          </w:tcPr>
          <w:p>
            <w:pPr>
              <w:tabs>
                <w:tab w:val="left" w:pos="851" w:leader="none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Національна служба здоров’я України</w:t>
            </w:r>
          </w:p>
          <w:p>
            <w:pPr>
              <w:tabs>
                <w:tab w:val="left" w:pos="851" w:leader="none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Код ЄДРПОУ 42032422</w:t>
            </w:r>
          </w:p>
          <w:p>
            <w:pPr>
              <w:tabs>
                <w:tab w:val="left" w:pos="851" w:leader="none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>
            <w:pPr>
              <w:tabs>
                <w:tab w:val="left" w:pos="851" w:leader="none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>
            <w:pPr>
              <w:tabs>
                <w:tab w:val="left" w:pos="851" w:leader="none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mallCaps w:val="0"/>
                <w:sz w:val="28"/>
                <w:szCs w:val="22"/>
                <w:cs w:val="0"/>
                <w:spacing w:val="0"/>
                <w:w w:val="100"/>
                <w:position w:val="0"/>
                <w:snapToGrid w:val="1"/>
              </w:rPr>
              <w:t xml:space="preserve">В.о. </w:t>
            </w:r>
            <w:r>
              <w:rPr>
                <w:rFonts w:ascii="Times New Roman" w:hAnsi="Times New Roman"/>
                <w:sz w:val="28"/>
                <w:szCs w:val="28"/>
              </w:rPr>
              <w:t>Голов</w:t>
            </w:r>
            <w:r>
              <w:rPr>
                <w:rFonts w:ascii="Times New Roman" w:hAnsi="Times New Roman"/>
                <w:smallCaps w:val="0"/>
                <w:sz w:val="28"/>
                <w:szCs w:val="22"/>
                <w:cs w:val="0"/>
                <w:spacing w:val="0"/>
                <w:w w:val="100"/>
                <w:position w:val="0"/>
                <w:snapToGrid w:val="1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>
            <w:pPr>
              <w:tabs>
                <w:tab w:val="left" w:pos="851" w:leader="none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___________________</w:t>
            </w:r>
            <w:r>
              <w:rPr>
                <w:rFonts w:ascii="Times New Roman" w:hAnsi="Times New Roman"/>
                <w:smallCaps w:val="0"/>
                <w:sz w:val="28"/>
                <w:szCs w:val="22"/>
                <w:cs w:val="0"/>
                <w:spacing w:val="0"/>
                <w:w w:val="100"/>
                <w:position w:val="0"/>
                <w:snapToGrid w:val="1"/>
              </w:rPr>
              <w:t>Олександр РЯБЕЦЬ</w:t>
            </w:r>
          </w:p>
          <w:p>
            <w:pPr>
              <w:tabs>
                <w:tab w:val="left" w:pos="851" w:leader="none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47" w:type="dxa"/>
          </w:tcPr>
          <w:p>
            <w:pPr>
              <w:tabs>
                <w:tab w:val="left" w:pos="851" w:leader="none"/>
              </w:tabs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КНП “Миколаївська обласна клінічна лікарня” Миколаївської обласної ради </w:t>
            </w:r>
          </w:p>
          <w:p>
            <w:pPr>
              <w:tabs>
                <w:tab w:val="left" w:pos="851" w:leader="none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код ЄДРПОУ 01998383</w:t>
            </w:r>
          </w:p>
          <w:p>
            <w:pPr>
              <w:tabs>
                <w:tab w:val="left" w:pos="851" w:leader="none"/>
              </w:tabs>
              <w:jc w:val="both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  <w:p>
            <w:pPr>
              <w:tabs>
                <w:tab w:val="left" w:pos="851" w:leader="none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Директор</w:t>
            </w:r>
          </w:p>
          <w:p>
            <w:pPr>
              <w:tabs>
                <w:tab w:val="left" w:pos="851" w:leader="none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__________________________ Ірина ШАБІЛЬЯНОВА</w:t>
            </w:r>
          </w:p>
        </w:tc>
      </w:tr>
    </w:tbl>
    <w:p>
      <w:pPr>
        <w:tabs>
          <w:tab w:val="left" w:pos="851" w:leader="none"/>
        </w:tabs>
        <w:spacing w:lineRule="auto" w:line="240" w:after="0" w:beforeAutospacing="0" w:afterAutospacing="0"/>
        <w:jc w:val="both"/>
        <w:rPr>
          <w:rFonts w:ascii="Times New Roman" w:hAnsi="Times New Roman"/>
          <w:sz w:val="28"/>
          <w:szCs w:val="28"/>
        </w:rPr>
      </w:pPr>
    </w:p>
    <w:sectPr>
      <w:type w:val="nextPage"/>
      <w:pgSz w:w="16838" w:h="11906" w:code="0" w:orient="landscape"/>
      <w:pgMar w:left="567" w:right="567" w:top="851" w:bottom="567" w:header="709" w:footer="709" w:gutter="0"/>
    </w:sectPr>
  </w:body>
</w:document>
</file>

<file path=word/numbering.xml><?xml version="1.0" encoding="utf-8"?>
<w:numbering xmlns:w="http://schemas.openxmlformats.org/wordprocessingml/2006/main">
  <w:abstractNum w:abstractNumId="0">
    <w:nsid w:val="005028FF"/>
    <w:multiLevelType w:val="multilevel"/>
    <w:lvl w:ilvl="0">
      <w:start w:val="1"/>
      <w:numFmt w:val="decimal"/>
      <w:suff w:val="tab"/>
      <w:lvlText w:val="%1."/>
      <w:lvlJc w:val="left"/>
      <w:pPr>
        <w:ind w:hanging="360" w:left="720"/>
      </w:pPr>
      <w:rPr>
        <w:u w:val="none"/>
      </w:rPr>
    </w:lvl>
    <w:lvl w:ilvl="1">
      <w:start w:val="1"/>
      <w:numFmt w:val="lowerLetter"/>
      <w:suff w:val="tab"/>
      <w:lvlText w:val="%2."/>
      <w:lvlJc w:val="left"/>
      <w:pPr>
        <w:ind w:hanging="360" w:left="1440"/>
      </w:pPr>
      <w:rPr>
        <w:u w:val="none"/>
      </w:rPr>
    </w:lvl>
    <w:lvl w:ilvl="2">
      <w:start w:val="1"/>
      <w:numFmt w:val="lowerRoman"/>
      <w:suff w:val="tab"/>
      <w:lvlText w:val="%3."/>
      <w:lvlJc w:val="right"/>
      <w:pPr>
        <w:ind w:hanging="360" w:left="2160"/>
      </w:pPr>
      <w:rPr>
        <w:u w:val="none"/>
      </w:rPr>
    </w:lvl>
    <w:lvl w:ilvl="3">
      <w:start w:val="1"/>
      <w:numFmt w:val="decimal"/>
      <w:suff w:val="tab"/>
      <w:lvlText w:val="%4."/>
      <w:lvlJc w:val="left"/>
      <w:pPr>
        <w:ind w:hanging="360" w:left="2880"/>
      </w:pPr>
      <w:rPr>
        <w:u w:val="none"/>
      </w:rPr>
    </w:lvl>
    <w:lvl w:ilvl="4">
      <w:start w:val="1"/>
      <w:numFmt w:val="lowerLetter"/>
      <w:suff w:val="tab"/>
      <w:lvlText w:val="%5."/>
      <w:lvlJc w:val="left"/>
      <w:pPr>
        <w:ind w:hanging="360" w:left="3600"/>
      </w:pPr>
      <w:rPr>
        <w:u w:val="none"/>
      </w:rPr>
    </w:lvl>
    <w:lvl w:ilvl="5">
      <w:start w:val="1"/>
      <w:numFmt w:val="lowerRoman"/>
      <w:suff w:val="tab"/>
      <w:lvlText w:val="%6."/>
      <w:lvlJc w:val="right"/>
      <w:pPr>
        <w:ind w:hanging="360" w:left="4320"/>
      </w:pPr>
      <w:rPr>
        <w:u w:val="none"/>
      </w:rPr>
    </w:lvl>
    <w:lvl w:ilvl="6">
      <w:start w:val="1"/>
      <w:numFmt w:val="decimal"/>
      <w:suff w:val="tab"/>
      <w:lvlText w:val="%7."/>
      <w:lvlJc w:val="left"/>
      <w:pPr>
        <w:ind w:hanging="360" w:left="5040"/>
      </w:pPr>
      <w:rPr>
        <w:u w:val="none"/>
      </w:rPr>
    </w:lvl>
    <w:lvl w:ilvl="7">
      <w:start w:val="1"/>
      <w:numFmt w:val="lowerLetter"/>
      <w:suff w:val="tab"/>
      <w:lvlText w:val="%8."/>
      <w:lvlJc w:val="left"/>
      <w:pPr>
        <w:ind w:hanging="360" w:left="5760"/>
      </w:pPr>
      <w:rPr>
        <w:u w:val="none"/>
      </w:rPr>
    </w:lvl>
    <w:lvl w:ilvl="8">
      <w:start w:val="1"/>
      <w:numFmt w:val="lowerRoman"/>
      <w:suff w:val="tab"/>
      <w:lvlText w:val="%9."/>
      <w:lvlJc w:val="right"/>
      <w:pPr>
        <w:ind w:hanging="360" w:left="6480"/>
      </w:pPr>
      <w:rPr>
        <w:u w:val="none"/>
      </w:rPr>
    </w:lvl>
  </w:abstractNum>
  <w:abstractNum w:abstractNumId="1">
    <w:nsid w:val="2945777A"/>
    <w:multiLevelType w:val="multilevel"/>
    <w:lvl w:ilvl="0">
      <w:start w:val="1"/>
      <w:numFmt w:val="decimal"/>
      <w:suff w:val="tab"/>
      <w:lvlText w:val="%1."/>
      <w:lvlJc w:val="left"/>
      <w:pPr>
        <w:ind w:hanging="360" w:left="720"/>
        <w:tabs>
          <w:tab w:val="num" w:pos="720" w:leader="none"/>
        </w:tabs>
      </w:pPr>
      <w:rPr/>
    </w:lvl>
    <w:lvl w:ilvl="1">
      <w:start w:val="1"/>
      <w:numFmt w:val="decimal"/>
      <w:suff w:val="tab"/>
      <w:lvlText w:val="%2."/>
      <w:lvlJc w:val="left"/>
      <w:pPr>
        <w:ind w:hanging="360" w:left="1440"/>
        <w:tabs>
          <w:tab w:val="num" w:pos="1440" w:leader="none"/>
        </w:tabs>
      </w:pPr>
      <w:rPr/>
    </w:lvl>
    <w:lvl w:ilvl="2">
      <w:start w:val="1"/>
      <w:numFmt w:val="decimal"/>
      <w:suff w:val="tab"/>
      <w:lvlText w:val="%3."/>
      <w:lvlJc w:val="left"/>
      <w:pPr>
        <w:ind w:hanging="360" w:left="2160"/>
        <w:tabs>
          <w:tab w:val="num" w:pos="2160" w:leader="none"/>
        </w:tabs>
      </w:pPr>
      <w:rPr/>
    </w:lvl>
    <w:lvl w:ilvl="3">
      <w:start w:val="1"/>
      <w:numFmt w:val="decimal"/>
      <w:suff w:val="tab"/>
      <w:lvlText w:val="%4."/>
      <w:lvlJc w:val="left"/>
      <w:pPr>
        <w:ind w:hanging="360" w:left="2880"/>
        <w:tabs>
          <w:tab w:val="num" w:pos="2880" w:leader="none"/>
        </w:tabs>
      </w:pPr>
      <w:rPr/>
    </w:lvl>
    <w:lvl w:ilvl="4">
      <w:start w:val="1"/>
      <w:numFmt w:val="decimal"/>
      <w:suff w:val="tab"/>
      <w:lvlText w:val="%5."/>
      <w:lvlJc w:val="left"/>
      <w:pPr>
        <w:ind w:hanging="360" w:left="3600"/>
        <w:tabs>
          <w:tab w:val="num" w:pos="3600" w:leader="none"/>
        </w:tabs>
      </w:pPr>
      <w:rPr/>
    </w:lvl>
    <w:lvl w:ilvl="5">
      <w:start w:val="1"/>
      <w:numFmt w:val="decimal"/>
      <w:suff w:val="tab"/>
      <w:lvlText w:val="%6."/>
      <w:lvlJc w:val="left"/>
      <w:pPr>
        <w:ind w:hanging="360" w:left="4320"/>
        <w:tabs>
          <w:tab w:val="num" w:pos="4320" w:leader="none"/>
        </w:tabs>
      </w:pPr>
      <w:rPr/>
    </w:lvl>
    <w:lvl w:ilvl="6">
      <w:start w:val="1"/>
      <w:numFmt w:val="decimal"/>
      <w:suff w:val="tab"/>
      <w:lvlText w:val="%7."/>
      <w:lvlJc w:val="left"/>
      <w:pPr>
        <w:ind w:hanging="360" w:left="5040"/>
        <w:tabs>
          <w:tab w:val="num" w:pos="5040" w:leader="none"/>
        </w:tabs>
      </w:pPr>
      <w:rPr/>
    </w:lvl>
    <w:lvl w:ilvl="7">
      <w:start w:val="1"/>
      <w:numFmt w:val="decimal"/>
      <w:suff w:val="tab"/>
      <w:lvlText w:val="%8."/>
      <w:lvlJc w:val="left"/>
      <w:pPr>
        <w:ind w:hanging="360" w:left="5760"/>
        <w:tabs>
          <w:tab w:val="num" w:pos="5760" w:leader="none"/>
        </w:tabs>
      </w:pPr>
      <w:rPr/>
    </w:lvl>
    <w:lvl w:ilvl="8">
      <w:start w:val="1"/>
      <w:numFmt w:val="decimal"/>
      <w:suff w:val="tab"/>
      <w:lvlText w:val="%9."/>
      <w:lvlJc w:val="left"/>
      <w:pPr>
        <w:ind w:hanging="360" w:left="6480"/>
        <w:tabs>
          <w:tab w:val="num" w:pos="6480" w:leader="none"/>
        </w:tabs>
      </w:pPr>
      <w:rPr/>
    </w:lvl>
  </w:abstractNum>
  <w:abstractNum w:abstractNumId="2">
    <w:nsid w:val="2E151EF6"/>
    <w:multiLevelType w:val="multilevel"/>
    <w:lvl w:ilvl="0">
      <w:start w:val="1"/>
      <w:numFmt w:val="decimal"/>
      <w:suff w:val="tab"/>
      <w:lvlText w:val="%1."/>
      <w:lvlJc w:val="left"/>
      <w:pPr>
        <w:ind w:hanging="360" w:left="720"/>
      </w:pPr>
      <w:rPr/>
    </w:lvl>
    <w:lvl w:ilvl="1">
      <w:start w:val="1"/>
      <w:numFmt w:val="lowerLetter"/>
      <w:suff w:val="tab"/>
      <w:lvlText w:val="%2."/>
      <w:lvlJc w:val="left"/>
      <w:pPr>
        <w:ind w:hanging="360" w:left="1440"/>
      </w:pPr>
      <w:rPr/>
    </w:lvl>
    <w:lvl w:ilvl="2">
      <w:start w:val="1"/>
      <w:numFmt w:val="lowerRoman"/>
      <w:suff w:val="tab"/>
      <w:lvlText w:val="%3."/>
      <w:lvlJc w:val="right"/>
      <w:pPr>
        <w:ind w:hanging="180" w:left="2160"/>
      </w:pPr>
      <w:rPr/>
    </w:lvl>
    <w:lvl w:ilvl="3">
      <w:start w:val="1"/>
      <w:numFmt w:val="decimal"/>
      <w:suff w:val="tab"/>
      <w:lvlText w:val="%4."/>
      <w:lvlJc w:val="left"/>
      <w:pPr>
        <w:ind w:hanging="360" w:left="2880"/>
      </w:pPr>
      <w:rPr/>
    </w:lvl>
    <w:lvl w:ilvl="4">
      <w:start w:val="1"/>
      <w:numFmt w:val="lowerLetter"/>
      <w:suff w:val="tab"/>
      <w:lvlText w:val="%5."/>
      <w:lvlJc w:val="left"/>
      <w:pPr>
        <w:ind w:hanging="360" w:left="3600"/>
      </w:pPr>
      <w:rPr/>
    </w:lvl>
    <w:lvl w:ilvl="5">
      <w:start w:val="1"/>
      <w:numFmt w:val="lowerRoman"/>
      <w:suff w:val="tab"/>
      <w:lvlText w:val="%6."/>
      <w:lvlJc w:val="right"/>
      <w:pPr>
        <w:ind w:hanging="180" w:left="4320"/>
      </w:pPr>
      <w:rPr/>
    </w:lvl>
    <w:lvl w:ilvl="6">
      <w:start w:val="1"/>
      <w:numFmt w:val="decimal"/>
      <w:suff w:val="tab"/>
      <w:lvlText w:val="%7."/>
      <w:lvlJc w:val="left"/>
      <w:pPr>
        <w:ind w:hanging="360" w:left="5040"/>
      </w:pPr>
      <w:rPr/>
    </w:lvl>
    <w:lvl w:ilvl="7">
      <w:start w:val="1"/>
      <w:numFmt w:val="lowerLetter"/>
      <w:suff w:val="tab"/>
      <w:lvlText w:val="%8."/>
      <w:lvlJc w:val="left"/>
      <w:pPr>
        <w:ind w:hanging="360" w:left="5760"/>
      </w:pPr>
      <w:rPr/>
    </w:lvl>
    <w:lvl w:ilvl="8">
      <w:start w:val="1"/>
      <w:numFmt w:val="lowerRoman"/>
      <w:suff w:val="tab"/>
      <w:lvlText w:val="%9."/>
      <w:lvlJc w:val="right"/>
      <w:pPr>
        <w:ind w:hanging="180" w:left="6480"/>
      </w:pPr>
      <w:rPr/>
    </w:lvl>
  </w:abstractNum>
  <w:abstractNum w:abstractNumId="3">
    <w:nsid w:val="33143441"/>
    <w:multiLevelType w:val="hybridMultilevel"/>
    <w:lvl w:ilvl="0" w:tplc="F4C858F4">
      <w:start w:val="1"/>
      <w:numFmt w:val="bullet"/>
      <w:suff w:val="tab"/>
      <w:lvlText w:val="-"/>
      <w:lvlJc w:val="left"/>
      <w:pPr>
        <w:ind w:hanging="360" w:left="927"/>
      </w:pPr>
      <w:rPr>
        <w:rFonts w:ascii="Times New Roman" w:hAnsi="Times New Roman"/>
      </w:rPr>
    </w:lvl>
    <w:lvl w:ilvl="1" w:tplc="04220003">
      <w:start w:val="1"/>
      <w:numFmt w:val="bullet"/>
      <w:suff w:val="tab"/>
      <w:lvlText w:val="o"/>
      <w:lvlJc w:val="left"/>
      <w:pPr>
        <w:ind w:hanging="360" w:left="1647"/>
      </w:pPr>
      <w:rPr>
        <w:rFonts w:ascii="Courier New" w:hAnsi="Courier New"/>
      </w:rPr>
    </w:lvl>
    <w:lvl w:ilvl="2" w:tplc="04220005">
      <w:start w:val="1"/>
      <w:numFmt w:val="bullet"/>
      <w:suff w:val="tab"/>
      <w:lvlText w:val=""/>
      <w:lvlJc w:val="left"/>
      <w:pPr>
        <w:ind w:hanging="360" w:left="2367"/>
      </w:pPr>
      <w:rPr>
        <w:rFonts w:ascii="Wingdings" w:hAnsi="Wingdings"/>
      </w:rPr>
    </w:lvl>
    <w:lvl w:ilvl="3" w:tplc="04220001">
      <w:start w:val="1"/>
      <w:numFmt w:val="bullet"/>
      <w:suff w:val="tab"/>
      <w:lvlText w:val=""/>
      <w:lvlJc w:val="left"/>
      <w:pPr>
        <w:ind w:hanging="360" w:left="3087"/>
      </w:pPr>
      <w:rPr>
        <w:rFonts w:ascii="Symbol" w:hAnsi="Symbol"/>
      </w:rPr>
    </w:lvl>
    <w:lvl w:ilvl="4" w:tplc="04220003">
      <w:start w:val="1"/>
      <w:numFmt w:val="bullet"/>
      <w:suff w:val="tab"/>
      <w:lvlText w:val="o"/>
      <w:lvlJc w:val="left"/>
      <w:pPr>
        <w:ind w:hanging="360" w:left="3807"/>
      </w:pPr>
      <w:rPr>
        <w:rFonts w:ascii="Courier New" w:hAnsi="Courier New"/>
      </w:rPr>
    </w:lvl>
    <w:lvl w:ilvl="5" w:tplc="04220005">
      <w:start w:val="1"/>
      <w:numFmt w:val="bullet"/>
      <w:suff w:val="tab"/>
      <w:lvlText w:val=""/>
      <w:lvlJc w:val="left"/>
      <w:pPr>
        <w:ind w:hanging="360" w:left="4527"/>
      </w:pPr>
      <w:rPr>
        <w:rFonts w:ascii="Wingdings" w:hAnsi="Wingdings"/>
      </w:rPr>
    </w:lvl>
    <w:lvl w:ilvl="6" w:tplc="04220001">
      <w:start w:val="1"/>
      <w:numFmt w:val="bullet"/>
      <w:suff w:val="tab"/>
      <w:lvlText w:val=""/>
      <w:lvlJc w:val="left"/>
      <w:pPr>
        <w:ind w:hanging="360" w:left="5247"/>
      </w:pPr>
      <w:rPr>
        <w:rFonts w:ascii="Symbol" w:hAnsi="Symbol"/>
      </w:rPr>
    </w:lvl>
    <w:lvl w:ilvl="7" w:tplc="04220003">
      <w:start w:val="1"/>
      <w:numFmt w:val="bullet"/>
      <w:suff w:val="tab"/>
      <w:lvlText w:val="o"/>
      <w:lvlJc w:val="left"/>
      <w:pPr>
        <w:ind w:hanging="360" w:left="5967"/>
      </w:pPr>
      <w:rPr>
        <w:rFonts w:ascii="Courier New" w:hAnsi="Courier New"/>
      </w:rPr>
    </w:lvl>
    <w:lvl w:ilvl="8" w:tplc="04220005">
      <w:start w:val="1"/>
      <w:numFmt w:val="bullet"/>
      <w:suff w:val="tab"/>
      <w:lvlText w:val=""/>
      <w:lvlJc w:val="left"/>
      <w:pPr>
        <w:ind w:hanging="360" w:left="6687"/>
      </w:pPr>
      <w:rPr>
        <w:rFonts w:ascii="Wingdings" w:hAnsi="Wingdings"/>
      </w:rPr>
    </w:lvl>
  </w:abstractNum>
  <w:abstractNum w:abstractNumId="4">
    <w:nsid w:val="33EC2623"/>
    <w:multiLevelType w:val="hybridMultilevel"/>
    <w:lvl w:ilvl="0" w:tplc="F4C858F4">
      <w:start w:val="1"/>
      <w:numFmt w:val="bullet"/>
      <w:suff w:val="tab"/>
      <w:lvlText w:val="-"/>
      <w:lvlJc w:val="left"/>
      <w:pPr>
        <w:ind w:hanging="360" w:left="1287"/>
      </w:pPr>
      <w:rPr>
        <w:rFonts w:ascii="Times New Roman" w:hAnsi="Times New Roman"/>
      </w:rPr>
    </w:lvl>
    <w:lvl w:ilvl="1" w:tplc="04220003">
      <w:start w:val="1"/>
      <w:numFmt w:val="bullet"/>
      <w:suff w:val="tab"/>
      <w:lvlText w:val="o"/>
      <w:lvlJc w:val="left"/>
      <w:pPr>
        <w:ind w:hanging="360" w:left="2007"/>
      </w:pPr>
      <w:rPr>
        <w:rFonts w:ascii="Courier New" w:hAnsi="Courier New"/>
      </w:rPr>
    </w:lvl>
    <w:lvl w:ilvl="2" w:tplc="04220005">
      <w:start w:val="1"/>
      <w:numFmt w:val="bullet"/>
      <w:suff w:val="tab"/>
      <w:lvlText w:val=""/>
      <w:lvlJc w:val="left"/>
      <w:pPr>
        <w:ind w:hanging="360" w:left="2727"/>
      </w:pPr>
      <w:rPr>
        <w:rFonts w:ascii="Wingdings" w:hAnsi="Wingdings"/>
      </w:rPr>
    </w:lvl>
    <w:lvl w:ilvl="3" w:tplc="04220001">
      <w:start w:val="1"/>
      <w:numFmt w:val="bullet"/>
      <w:suff w:val="tab"/>
      <w:lvlText w:val=""/>
      <w:lvlJc w:val="left"/>
      <w:pPr>
        <w:ind w:hanging="360" w:left="3447"/>
      </w:pPr>
      <w:rPr>
        <w:rFonts w:ascii="Symbol" w:hAnsi="Symbol"/>
      </w:rPr>
    </w:lvl>
    <w:lvl w:ilvl="4" w:tplc="04220003">
      <w:start w:val="1"/>
      <w:numFmt w:val="bullet"/>
      <w:suff w:val="tab"/>
      <w:lvlText w:val="o"/>
      <w:lvlJc w:val="left"/>
      <w:pPr>
        <w:ind w:hanging="360" w:left="4167"/>
      </w:pPr>
      <w:rPr>
        <w:rFonts w:ascii="Courier New" w:hAnsi="Courier New"/>
      </w:rPr>
    </w:lvl>
    <w:lvl w:ilvl="5" w:tplc="04220005">
      <w:start w:val="1"/>
      <w:numFmt w:val="bullet"/>
      <w:suff w:val="tab"/>
      <w:lvlText w:val=""/>
      <w:lvlJc w:val="left"/>
      <w:pPr>
        <w:ind w:hanging="360" w:left="4887"/>
      </w:pPr>
      <w:rPr>
        <w:rFonts w:ascii="Wingdings" w:hAnsi="Wingdings"/>
      </w:rPr>
    </w:lvl>
    <w:lvl w:ilvl="6" w:tplc="04220001">
      <w:start w:val="1"/>
      <w:numFmt w:val="bullet"/>
      <w:suff w:val="tab"/>
      <w:lvlText w:val=""/>
      <w:lvlJc w:val="left"/>
      <w:pPr>
        <w:ind w:hanging="360" w:left="5607"/>
      </w:pPr>
      <w:rPr>
        <w:rFonts w:ascii="Symbol" w:hAnsi="Symbol"/>
      </w:rPr>
    </w:lvl>
    <w:lvl w:ilvl="7" w:tplc="04220003">
      <w:start w:val="1"/>
      <w:numFmt w:val="bullet"/>
      <w:suff w:val="tab"/>
      <w:lvlText w:val="o"/>
      <w:lvlJc w:val="left"/>
      <w:pPr>
        <w:ind w:hanging="360" w:left="6327"/>
      </w:pPr>
      <w:rPr>
        <w:rFonts w:ascii="Courier New" w:hAnsi="Courier New"/>
      </w:rPr>
    </w:lvl>
    <w:lvl w:ilvl="8" w:tplc="04220005">
      <w:start w:val="1"/>
      <w:numFmt w:val="bullet"/>
      <w:suff w:val="tab"/>
      <w:lvlText w:val=""/>
      <w:lvlJc w:val="left"/>
      <w:pPr>
        <w:ind w:hanging="360" w:left="7047"/>
      </w:pPr>
      <w:rPr>
        <w:rFonts w:ascii="Wingdings" w:hAnsi="Wingdings"/>
      </w:rPr>
    </w:lvl>
  </w:abstractNum>
  <w:abstractNum w:abstractNumId="5">
    <w:nsid w:val="410948BB"/>
    <w:multiLevelType w:val="multilevel"/>
    <w:lvl w:ilvl="0">
      <w:start w:val="1"/>
      <w:numFmt w:val="decimal"/>
      <w:suff w:val="tab"/>
      <w:lvlText w:val="%1."/>
      <w:lvlJc w:val="left"/>
      <w:pPr>
        <w:ind w:hanging="360" w:left="720"/>
        <w:tabs>
          <w:tab w:val="num" w:pos="720" w:leader="none"/>
        </w:tabs>
      </w:pPr>
      <w:rPr/>
    </w:lvl>
    <w:lvl w:ilvl="1">
      <w:start w:val="1"/>
      <w:numFmt w:val="decimal"/>
      <w:suff w:val="tab"/>
      <w:lvlText w:val="%2."/>
      <w:lvlJc w:val="left"/>
      <w:pPr>
        <w:ind w:hanging="360" w:left="1440"/>
        <w:tabs>
          <w:tab w:val="num" w:pos="1440" w:leader="none"/>
        </w:tabs>
      </w:pPr>
      <w:rPr/>
    </w:lvl>
    <w:lvl w:ilvl="2">
      <w:start w:val="1"/>
      <w:numFmt w:val="decimal"/>
      <w:suff w:val="tab"/>
      <w:lvlText w:val="%3."/>
      <w:lvlJc w:val="left"/>
      <w:pPr>
        <w:ind w:hanging="360" w:left="2160"/>
        <w:tabs>
          <w:tab w:val="num" w:pos="2160" w:leader="none"/>
        </w:tabs>
      </w:pPr>
      <w:rPr/>
    </w:lvl>
    <w:lvl w:ilvl="3">
      <w:start w:val="1"/>
      <w:numFmt w:val="decimal"/>
      <w:suff w:val="tab"/>
      <w:lvlText w:val="%4."/>
      <w:lvlJc w:val="left"/>
      <w:pPr>
        <w:ind w:hanging="360" w:left="2880"/>
        <w:tabs>
          <w:tab w:val="num" w:pos="2880" w:leader="none"/>
        </w:tabs>
      </w:pPr>
      <w:rPr/>
    </w:lvl>
    <w:lvl w:ilvl="4">
      <w:start w:val="1"/>
      <w:numFmt w:val="decimal"/>
      <w:suff w:val="tab"/>
      <w:lvlText w:val="%5."/>
      <w:lvlJc w:val="left"/>
      <w:pPr>
        <w:ind w:hanging="360" w:left="3600"/>
        <w:tabs>
          <w:tab w:val="num" w:pos="3600" w:leader="none"/>
        </w:tabs>
      </w:pPr>
      <w:rPr/>
    </w:lvl>
    <w:lvl w:ilvl="5">
      <w:start w:val="1"/>
      <w:numFmt w:val="decimal"/>
      <w:suff w:val="tab"/>
      <w:lvlText w:val="%6."/>
      <w:lvlJc w:val="left"/>
      <w:pPr>
        <w:ind w:hanging="360" w:left="4320"/>
        <w:tabs>
          <w:tab w:val="num" w:pos="4320" w:leader="none"/>
        </w:tabs>
      </w:pPr>
      <w:rPr/>
    </w:lvl>
    <w:lvl w:ilvl="6">
      <w:start w:val="1"/>
      <w:numFmt w:val="decimal"/>
      <w:suff w:val="tab"/>
      <w:lvlText w:val="%7."/>
      <w:lvlJc w:val="left"/>
      <w:pPr>
        <w:ind w:hanging="360" w:left="5040"/>
        <w:tabs>
          <w:tab w:val="num" w:pos="5040" w:leader="none"/>
        </w:tabs>
      </w:pPr>
      <w:rPr/>
    </w:lvl>
    <w:lvl w:ilvl="7">
      <w:start w:val="1"/>
      <w:numFmt w:val="decimal"/>
      <w:suff w:val="tab"/>
      <w:lvlText w:val="%8."/>
      <w:lvlJc w:val="left"/>
      <w:pPr>
        <w:ind w:hanging="360" w:left="5760"/>
        <w:tabs>
          <w:tab w:val="num" w:pos="5760" w:leader="none"/>
        </w:tabs>
      </w:pPr>
      <w:rPr/>
    </w:lvl>
    <w:lvl w:ilvl="8">
      <w:start w:val="1"/>
      <w:numFmt w:val="decimal"/>
      <w:suff w:val="tab"/>
      <w:lvlText w:val="%9."/>
      <w:lvlJc w:val="left"/>
      <w:pPr>
        <w:ind w:hanging="360" w:left="6480"/>
        <w:tabs>
          <w:tab w:val="num" w:pos="6480" w:leader="none"/>
        </w:tabs>
      </w:pPr>
      <w:rPr/>
    </w:lvl>
  </w:abstractNum>
  <w:abstractNum w:abstractNumId="6">
    <w:nsid w:val="68752DC4"/>
    <w:multiLevelType w:val="multilevel"/>
    <w:lvl w:ilvl="0">
      <w:start w:val="1"/>
      <w:numFmt w:val="bullet"/>
      <w:suff w:val="tab"/>
      <w:lvlText w:val="-"/>
      <w:lvlJc w:val="left"/>
      <w:pPr>
        <w:ind w:hanging="360" w:left="927"/>
      </w:pPr>
      <w:rPr>
        <w:rFonts w:ascii="Times New Roman" w:hAnsi="Times New Roman"/>
      </w:rPr>
    </w:lvl>
    <w:lvl w:ilvl="1">
      <w:start w:val="1"/>
      <w:numFmt w:val="bullet"/>
      <w:suff w:val="tab"/>
      <w:lvlText w:val="o"/>
      <w:lvlJc w:val="left"/>
      <w:pPr>
        <w:ind w:hanging="360" w:left="1647"/>
      </w:pPr>
      <w:rPr>
        <w:rFonts w:ascii="Courier New" w:hAnsi="Courier New"/>
      </w:rPr>
    </w:lvl>
    <w:lvl w:ilvl="2">
      <w:start w:val="1"/>
      <w:numFmt w:val="bullet"/>
      <w:suff w:val="tab"/>
      <w:lvlText w:val="▪"/>
      <w:lvlJc w:val="left"/>
      <w:pPr>
        <w:ind w:hanging="360" w:left="2367"/>
      </w:pPr>
      <w:rPr>
        <w:rFonts w:ascii="Noto Sans Symbols" w:hAnsi="Noto Sans Symbols"/>
      </w:rPr>
    </w:lvl>
    <w:lvl w:ilvl="3">
      <w:start w:val="1"/>
      <w:numFmt w:val="bullet"/>
      <w:suff w:val="tab"/>
      <w:lvlText w:val="●"/>
      <w:lvlJc w:val="left"/>
      <w:pPr>
        <w:ind w:hanging="360" w:left="3087"/>
      </w:pPr>
      <w:rPr>
        <w:rFonts w:ascii="Noto Sans Symbols" w:hAnsi="Noto Sans Symbols"/>
      </w:rPr>
    </w:lvl>
    <w:lvl w:ilvl="4">
      <w:start w:val="1"/>
      <w:numFmt w:val="bullet"/>
      <w:suff w:val="tab"/>
      <w:lvlText w:val="o"/>
      <w:lvlJc w:val="left"/>
      <w:pPr>
        <w:ind w:hanging="360" w:left="3807"/>
      </w:pPr>
      <w:rPr>
        <w:rFonts w:ascii="Courier New" w:hAnsi="Courier New"/>
      </w:rPr>
    </w:lvl>
    <w:lvl w:ilvl="5">
      <w:start w:val="1"/>
      <w:numFmt w:val="bullet"/>
      <w:suff w:val="tab"/>
      <w:lvlText w:val="▪"/>
      <w:lvlJc w:val="left"/>
      <w:pPr>
        <w:ind w:hanging="360" w:left="4527"/>
      </w:pPr>
      <w:rPr>
        <w:rFonts w:ascii="Noto Sans Symbols" w:hAnsi="Noto Sans Symbols"/>
      </w:rPr>
    </w:lvl>
    <w:lvl w:ilvl="6">
      <w:start w:val="1"/>
      <w:numFmt w:val="bullet"/>
      <w:suff w:val="tab"/>
      <w:lvlText w:val="●"/>
      <w:lvlJc w:val="left"/>
      <w:pPr>
        <w:ind w:hanging="360" w:left="5247"/>
      </w:pPr>
      <w:rPr>
        <w:rFonts w:ascii="Noto Sans Symbols" w:hAnsi="Noto Sans Symbols"/>
      </w:rPr>
    </w:lvl>
    <w:lvl w:ilvl="7">
      <w:start w:val="1"/>
      <w:numFmt w:val="bullet"/>
      <w:suff w:val="tab"/>
      <w:lvlText w:val="o"/>
      <w:lvlJc w:val="left"/>
      <w:pPr>
        <w:ind w:hanging="360" w:left="5967"/>
      </w:pPr>
      <w:rPr>
        <w:rFonts w:ascii="Courier New" w:hAnsi="Courier New"/>
      </w:rPr>
    </w:lvl>
    <w:lvl w:ilvl="8">
      <w:start w:val="1"/>
      <w:numFmt w:val="bullet"/>
      <w:suff w:val="tab"/>
      <w:lvlText w:val="▪"/>
      <w:lvlJc w:val="left"/>
      <w:pPr>
        <w:ind w:hanging="360" w:left="6687"/>
      </w:pPr>
      <w:rPr>
        <w:rFonts w:ascii="Noto Sans Symbols" w:hAnsi="Noto Sans Symbols"/>
      </w:r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3"/>
  </w:num>
  <w:num w:numId="5">
    <w:abstractNumId w:val="4"/>
  </w:num>
  <w:num w:numId="6">
    <w:abstractNumId w:val="1"/>
  </w:num>
  <w:num w:numId="7">
    <w:abstractNumId w:val="5"/>
  </w:num>
</w:numbering>
</file>

<file path=word/settings.xml><?xml version="1.0" encoding="utf-8"?>
<w:settings xmlns:w="http://schemas.openxmlformats.org/wordprocessingml/2006/main">
  <w:displayBackgroundShape w:val="0"/>
  <w:defaultTabStop w:val="708"/>
  <w:autoHyphenation w:val="0"/>
  <w:hyphenationZone w:val="425"/>
  <w:evenAndOddHeaders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  <w:szCs w:val="22"/>
        <w:kern w:val="2"/>
        <w:lang w:val="uk-UA" w:bidi="ar-SA" w:eastAsia="en-US"/>
      </w:rPr>
    </w:rPrDefault>
    <w:pPrDefault>
      <w:pPr>
        <w:keepNext w:val="0"/>
        <w:keepLines w:val="0"/>
        <w:pageBreakBefore w:val="0"/>
        <w:widowControl w:val="1"/>
        <w:suppressLineNumbers w:val="0"/>
        <w:shd w:val="clear" w:fill="auto"/>
        <w:suppressAutoHyphens w:val="0"/>
        <w:spacing w:lineRule="auto" w:line="259" w:before="0" w:after="160" w:beforeAutospacing="0" w:afterAutospacing="0"/>
        <w:ind w:firstLine="0" w:left="0" w:right="0"/>
        <w:contextualSpacing w:val="0"/>
        <w:bidi w:val="0"/>
        <w:jc w:val="left"/>
        <w:outlineLvl w:val="9"/>
      </w:pPr>
    </w:pPrDefault>
  </w:docDefaults>
  <w:style w:type="paragraph" w:styleId="P0" w:default="1">
    <w:name w:val="Normal"/>
    <w:qFormat/>
    <w:pPr/>
    <w:rPr/>
  </w:style>
  <w:style w:type="paragraph" w:styleId="P1">
    <w:name w:val="heading 1"/>
    <w:basedOn w:val="P0"/>
    <w:next w:val="P0"/>
    <w:link w:val="C3"/>
    <w:qFormat/>
    <w:pPr>
      <w:keepNext w:val="1"/>
      <w:keepLines w:val="1"/>
      <w:spacing w:before="360" w:after="80" w:beforeAutospacing="0" w:afterAutospacing="0"/>
      <w:outlineLvl w:val="0"/>
    </w:pPr>
    <w:rPr>
      <w:color w:val="104861" w:themeColor="accent1" w:themeShade="BF"/>
      <w:sz w:val="40"/>
      <w:szCs w:val="40"/>
    </w:rPr>
  </w:style>
  <w:style w:type="paragraph" w:styleId="P2">
    <w:name w:val="heading 2"/>
    <w:basedOn w:val="P0"/>
    <w:next w:val="P0"/>
    <w:link w:val="C4"/>
    <w:semiHidden/>
    <w:qFormat/>
    <w:pPr>
      <w:keepNext w:val="1"/>
      <w:keepLines w:val="1"/>
      <w:spacing w:before="160" w:after="80" w:beforeAutospacing="0" w:afterAutospacing="0"/>
      <w:outlineLvl w:val="1"/>
    </w:pPr>
    <w:rPr>
      <w:color w:val="104861" w:themeColor="accent1" w:themeShade="BF"/>
      <w:sz w:val="32"/>
      <w:szCs w:val="32"/>
    </w:rPr>
  </w:style>
  <w:style w:type="paragraph" w:styleId="P3">
    <w:name w:val="heading 3"/>
    <w:basedOn w:val="P0"/>
    <w:next w:val="P0"/>
    <w:link w:val="C5"/>
    <w:semiHidden/>
    <w:qFormat/>
    <w:pPr>
      <w:keepNext w:val="1"/>
      <w:keepLines w:val="1"/>
      <w:spacing w:before="160" w:after="80" w:beforeAutospacing="0" w:afterAutospacing="0"/>
      <w:outlineLvl w:val="2"/>
    </w:pPr>
    <w:rPr>
      <w:color w:val="104861" w:themeColor="accent1" w:themeShade="BF"/>
      <w:sz w:val="28"/>
      <w:szCs w:val="28"/>
    </w:rPr>
  </w:style>
  <w:style w:type="paragraph" w:styleId="P4">
    <w:name w:val="heading 4"/>
    <w:basedOn w:val="P0"/>
    <w:next w:val="P0"/>
    <w:link w:val="C6"/>
    <w:semiHidden/>
    <w:qFormat/>
    <w:pPr>
      <w:keepNext w:val="1"/>
      <w:keepLines w:val="1"/>
      <w:spacing w:before="80" w:after="40" w:beforeAutospacing="0" w:afterAutospacing="0"/>
      <w:outlineLvl w:val="3"/>
    </w:pPr>
    <w:rPr>
      <w:i w:val="1"/>
      <w:iCs w:val="1"/>
      <w:color w:val="104861" w:themeColor="accent1" w:themeShade="BF"/>
    </w:rPr>
  </w:style>
  <w:style w:type="paragraph" w:styleId="P5">
    <w:name w:val="heading 5"/>
    <w:basedOn w:val="P0"/>
    <w:next w:val="P0"/>
    <w:link w:val="C7"/>
    <w:semiHidden/>
    <w:qFormat/>
    <w:pPr>
      <w:keepNext w:val="1"/>
      <w:keepLines w:val="1"/>
      <w:spacing w:before="80" w:after="40" w:beforeAutospacing="0" w:afterAutospacing="0"/>
      <w:outlineLvl w:val="4"/>
    </w:pPr>
    <w:rPr>
      <w:color w:val="104861" w:themeColor="accent1" w:themeShade="BF"/>
    </w:rPr>
  </w:style>
  <w:style w:type="paragraph" w:styleId="P6">
    <w:name w:val="heading 6"/>
    <w:basedOn w:val="P0"/>
    <w:next w:val="P0"/>
    <w:link w:val="C8"/>
    <w:semiHidden/>
    <w:qFormat/>
    <w:pPr>
      <w:keepNext w:val="1"/>
      <w:keepLines w:val="1"/>
      <w:spacing w:before="40" w:after="0" w:beforeAutospacing="0" w:afterAutospacing="0"/>
      <w:outlineLvl w:val="5"/>
    </w:pPr>
    <w:rPr>
      <w:i w:val="1"/>
      <w:iCs w:val="1"/>
      <w:color w:val="595959" w:themeColor="text1" w:themeTint="A6"/>
    </w:rPr>
  </w:style>
  <w:style w:type="paragraph" w:styleId="P7">
    <w:name w:val="heading 7"/>
    <w:basedOn w:val="P0"/>
    <w:next w:val="P0"/>
    <w:link w:val="C9"/>
    <w:semiHidden/>
    <w:qFormat/>
    <w:pPr>
      <w:keepNext w:val="1"/>
      <w:keepLines w:val="1"/>
      <w:spacing w:before="40" w:after="0" w:beforeAutospacing="0" w:afterAutospacing="0"/>
      <w:outlineLvl w:val="6"/>
    </w:pPr>
    <w:rPr>
      <w:color w:val="595959" w:themeColor="text1" w:themeTint="A6"/>
    </w:rPr>
  </w:style>
  <w:style w:type="paragraph" w:styleId="P8">
    <w:name w:val="heading 8"/>
    <w:basedOn w:val="P0"/>
    <w:next w:val="P0"/>
    <w:link w:val="C10"/>
    <w:semiHidden/>
    <w:qFormat/>
    <w:pPr>
      <w:keepNext w:val="1"/>
      <w:keepLines w:val="1"/>
      <w:spacing w:after="0" w:beforeAutospacing="0" w:afterAutospacing="0"/>
      <w:outlineLvl w:val="7"/>
    </w:pPr>
    <w:rPr>
      <w:i w:val="1"/>
      <w:iCs w:val="1"/>
      <w:color w:val="272727" w:themeColor="text1" w:themeTint="D8"/>
    </w:rPr>
  </w:style>
  <w:style w:type="paragraph" w:styleId="P9">
    <w:name w:val="heading 9"/>
    <w:basedOn w:val="P0"/>
    <w:next w:val="P0"/>
    <w:link w:val="C11"/>
    <w:semiHidden/>
    <w:qFormat/>
    <w:pPr>
      <w:keepNext w:val="1"/>
      <w:keepLines w:val="1"/>
      <w:spacing w:after="0" w:beforeAutospacing="0" w:afterAutospacing="0"/>
      <w:outlineLvl w:val="8"/>
    </w:pPr>
    <w:rPr>
      <w:color w:val="272727" w:themeColor="text1" w:themeTint="D8"/>
    </w:rPr>
  </w:style>
  <w:style w:type="paragraph" w:styleId="P10">
    <w:name w:val="Title"/>
    <w:basedOn w:val="P0"/>
    <w:next w:val="P0"/>
    <w:link w:val="C12"/>
    <w:qFormat/>
    <w:pPr>
      <w:spacing w:lineRule="auto" w:line="240" w:after="80" w:beforeAutospacing="0" w:afterAutospacing="0"/>
      <w:contextualSpacing w:val="1"/>
    </w:pPr>
    <w:rPr>
      <w:sz w:val="56"/>
      <w:szCs w:val="56"/>
      <w:spacing w:val="-10"/>
      <w:kern w:val="28"/>
    </w:rPr>
  </w:style>
  <w:style w:type="paragraph" w:styleId="P11">
    <w:name w:val="Subtitle"/>
    <w:basedOn w:val="P0"/>
    <w:next w:val="P0"/>
    <w:link w:val="C13"/>
    <w:qFormat/>
    <w:pPr/>
    <w:rPr>
      <w:color w:val="595959" w:themeColor="text1" w:themeTint="A6"/>
      <w:sz w:val="28"/>
      <w:szCs w:val="28"/>
      <w:spacing w:val="15"/>
    </w:rPr>
  </w:style>
  <w:style w:type="paragraph" w:styleId="P12">
    <w:name w:val="Quote"/>
    <w:basedOn w:val="P0"/>
    <w:next w:val="P0"/>
    <w:link w:val="C14"/>
    <w:qFormat/>
    <w:pPr>
      <w:spacing w:before="160" w:beforeAutospacing="0" w:afterAutospacing="0"/>
      <w:jc w:val="center"/>
    </w:pPr>
    <w:rPr>
      <w:i w:val="1"/>
      <w:iCs w:val="1"/>
      <w:color w:val="404040" w:themeColor="text1" w:themeTint="BF"/>
    </w:rPr>
  </w:style>
  <w:style w:type="paragraph" w:styleId="P13">
    <w:name w:val="List Paragraph"/>
    <w:basedOn w:val="P0"/>
    <w:qFormat/>
    <w:pPr>
      <w:ind w:left="720"/>
      <w:contextualSpacing w:val="1"/>
    </w:pPr>
    <w:rPr/>
  </w:style>
  <w:style w:type="paragraph" w:styleId="P14">
    <w:name w:val="Intense Quote"/>
    <w:basedOn w:val="P0"/>
    <w:next w:val="P0"/>
    <w:link w:val="C16"/>
    <w:qFormat/>
    <w:pPr>
      <w:pBdr>
        <w:top w:val="single" w:sz="4" w:space="10" w:shadow="0" w:frame="0" w:color="104861" w:themeColor="accent1" w:themeShade="BF"/>
        <w:left w:val="none" w:sz="0" w:space="0" w:shadow="0" w:frame="0" w:color="auto"/>
        <w:bottom w:val="single" w:sz="4" w:space="10" w:shadow="0" w:frame="0" w:color="104861" w:themeColor="accent1" w:themeShade="BF"/>
        <w:right w:val="none" w:sz="0" w:space="0" w:shadow="0" w:frame="0" w:color="auto"/>
        <w:between w:val="none" w:sz="0" w:space="0" w:shadow="0" w:frame="0" w:color="auto"/>
      </w:pBdr>
      <w:spacing w:before="360" w:after="360" w:beforeAutospacing="0" w:afterAutospacing="0"/>
      <w:ind w:left="864" w:right="864"/>
      <w:jc w:val="center"/>
    </w:pPr>
    <w:rPr>
      <w:i w:val="1"/>
      <w:iCs w:val="1"/>
      <w:color w:val="104861" w:themeColor="accent1" w:themeShade="BF"/>
    </w:rPr>
  </w:style>
  <w:style w:type="paragraph" w:styleId="P15">
    <w:name w:val="Normal (Web)"/>
    <w:basedOn w:val="P0"/>
    <w:semiHidden/>
    <w:pPr>
      <w:spacing w:lineRule="auto" w:line="240" w:before="100" w:after="100" w:beforeAutospacing="1" w:afterAutospacing="1"/>
    </w:pPr>
    <w:rPr>
      <w:rFonts w:ascii="Times New Roman" w:hAnsi="Times New Roman"/>
      <w:sz w:val="24"/>
      <w:szCs w:val="24"/>
      <w:lang w:eastAsia="uk-UA"/>
    </w:rPr>
  </w:style>
  <w:style w:type="paragraph" w:styleId="P16">
    <w:name w:val="annotation text"/>
    <w:basedOn w:val="P0"/>
    <w:link w:val="C20"/>
    <w:semiHidden/>
    <w:pPr>
      <w:spacing w:lineRule="auto" w:line="240" w:beforeAutospacing="0" w:afterAutospacing="0"/>
    </w:pPr>
    <w:rPr>
      <w:sz w:val="20"/>
      <w:szCs w:val="20"/>
    </w:rPr>
  </w:style>
  <w:style w:type="paragraph" w:styleId="P17">
    <w:name w:val="annotation subject"/>
    <w:basedOn w:val="P16"/>
    <w:next w:val="P16"/>
    <w:link w:val="C21"/>
    <w:semiHidden/>
    <w:pPr/>
    <w:rPr>
      <w:b w:val="1"/>
      <w:bCs w:val="1"/>
    </w:rPr>
  </w:style>
  <w:style w:type="paragraph" w:styleId="P18">
    <w:name w:val="Balloon Text"/>
    <w:basedOn w:val="P0"/>
    <w:link w:val="C22"/>
    <w:semiHidden/>
    <w:pPr>
      <w:spacing w:lineRule="auto" w:line="240" w:after="0" w:beforeAutospacing="0" w:afterAutospacing="0"/>
    </w:pPr>
    <w:rPr>
      <w:rFonts w:ascii="Segoe UI" w:hAnsi="Segoe UI"/>
      <w:sz w:val="18"/>
      <w:szCs w:val="18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basedOn w:val="C0"/>
    <w:rPr>
      <w:color w:val="467886" w:themeColor="hyperlink"/>
      <w:u w:val="single"/>
    </w:rPr>
  </w:style>
  <w:style w:type="character" w:styleId="C3">
    <w:name w:val="Заголовок 1 Знак"/>
    <w:basedOn w:val="C0"/>
    <w:link w:val="P1"/>
    <w:rPr>
      <w:color w:val="104861" w:themeColor="accent1" w:themeShade="BF"/>
      <w:sz w:val="40"/>
      <w:szCs w:val="40"/>
    </w:rPr>
  </w:style>
  <w:style w:type="character" w:styleId="C4">
    <w:name w:val="Заголовок 2 Знак"/>
    <w:basedOn w:val="C0"/>
    <w:link w:val="P2"/>
    <w:semiHidden/>
    <w:rPr>
      <w:color w:val="104861" w:themeColor="accent1" w:themeShade="BF"/>
      <w:sz w:val="32"/>
      <w:szCs w:val="32"/>
    </w:rPr>
  </w:style>
  <w:style w:type="character" w:styleId="C5">
    <w:name w:val="Заголовок 3 Знак"/>
    <w:basedOn w:val="C0"/>
    <w:link w:val="P3"/>
    <w:semiHidden/>
    <w:rPr>
      <w:color w:val="104861" w:themeColor="accent1" w:themeShade="BF"/>
      <w:sz w:val="28"/>
      <w:szCs w:val="28"/>
    </w:rPr>
  </w:style>
  <w:style w:type="character" w:styleId="C6">
    <w:name w:val="Заголовок 4 Знак"/>
    <w:basedOn w:val="C0"/>
    <w:link w:val="P4"/>
    <w:semiHidden/>
    <w:rPr>
      <w:i w:val="1"/>
      <w:iCs w:val="1"/>
      <w:color w:val="104861" w:themeColor="accent1" w:themeShade="BF"/>
    </w:rPr>
  </w:style>
  <w:style w:type="character" w:styleId="C7">
    <w:name w:val="Заголовок 5 Знак"/>
    <w:basedOn w:val="C0"/>
    <w:link w:val="P5"/>
    <w:semiHidden/>
    <w:rPr>
      <w:color w:val="104861" w:themeColor="accent1" w:themeShade="BF"/>
    </w:rPr>
  </w:style>
  <w:style w:type="character" w:styleId="C8">
    <w:name w:val="Заголовок 6 Знак"/>
    <w:basedOn w:val="C0"/>
    <w:link w:val="P6"/>
    <w:semiHidden/>
    <w:rPr>
      <w:i w:val="1"/>
      <w:iCs w:val="1"/>
      <w:color w:val="595959" w:themeColor="text1" w:themeTint="A6"/>
    </w:rPr>
  </w:style>
  <w:style w:type="character" w:styleId="C9">
    <w:name w:val="Заголовок 7 Знак"/>
    <w:basedOn w:val="C0"/>
    <w:link w:val="P7"/>
    <w:semiHidden/>
    <w:rPr>
      <w:color w:val="595959" w:themeColor="text1" w:themeTint="A6"/>
    </w:rPr>
  </w:style>
  <w:style w:type="character" w:styleId="C10">
    <w:name w:val="Заголовок 8 Знак"/>
    <w:basedOn w:val="C0"/>
    <w:link w:val="P8"/>
    <w:semiHidden/>
    <w:rPr>
      <w:i w:val="1"/>
      <w:iCs w:val="1"/>
      <w:color w:val="272727" w:themeColor="text1" w:themeTint="D8"/>
    </w:rPr>
  </w:style>
  <w:style w:type="character" w:styleId="C11">
    <w:name w:val="Заголовок 9 Знак"/>
    <w:basedOn w:val="C0"/>
    <w:link w:val="P9"/>
    <w:semiHidden/>
    <w:rPr>
      <w:color w:val="272727" w:themeColor="text1" w:themeTint="D8"/>
    </w:rPr>
  </w:style>
  <w:style w:type="character" w:styleId="C12">
    <w:name w:val="Назва Знак"/>
    <w:basedOn w:val="C0"/>
    <w:link w:val="P10"/>
    <w:rPr>
      <w:sz w:val="56"/>
      <w:szCs w:val="56"/>
      <w:spacing w:val="-10"/>
      <w:kern w:val="28"/>
    </w:rPr>
  </w:style>
  <w:style w:type="character" w:styleId="C13">
    <w:name w:val="Підзаголовок Знак"/>
    <w:basedOn w:val="C0"/>
    <w:link w:val="P11"/>
    <w:rPr>
      <w:color w:val="595959" w:themeColor="text1" w:themeTint="A6"/>
      <w:sz w:val="28"/>
      <w:szCs w:val="28"/>
      <w:spacing w:val="15"/>
    </w:rPr>
  </w:style>
  <w:style w:type="character" w:styleId="C14">
    <w:name w:val="Цитата Знак"/>
    <w:basedOn w:val="C0"/>
    <w:link w:val="P12"/>
    <w:rPr>
      <w:i w:val="1"/>
      <w:iCs w:val="1"/>
      <w:color w:val="404040" w:themeColor="text1" w:themeTint="BF"/>
    </w:rPr>
  </w:style>
  <w:style w:type="character" w:styleId="C15">
    <w:name w:val="Intense Emphasis"/>
    <w:basedOn w:val="C0"/>
    <w:qFormat/>
    <w:rPr>
      <w:i w:val="1"/>
      <w:iCs w:val="1"/>
      <w:color w:val="104861" w:themeColor="accent1" w:themeShade="BF"/>
    </w:rPr>
  </w:style>
  <w:style w:type="character" w:styleId="C16">
    <w:name w:val="Насичена цитата Знак"/>
    <w:basedOn w:val="C0"/>
    <w:link w:val="P14"/>
    <w:rPr>
      <w:i w:val="1"/>
      <w:iCs w:val="1"/>
      <w:color w:val="104861" w:themeColor="accent1" w:themeShade="BF"/>
    </w:rPr>
  </w:style>
  <w:style w:type="character" w:styleId="C17">
    <w:name w:val="Intense Reference"/>
    <w:basedOn w:val="C0"/>
    <w:qFormat/>
    <w:rPr>
      <w:b w:val="1"/>
      <w:bCs w:val="1"/>
      <w:smallCaps w:val="1"/>
      <w:color w:val="104861" w:themeColor="accent1" w:themeShade="BF"/>
      <w:spacing w:val="5"/>
    </w:rPr>
  </w:style>
  <w:style w:type="character" w:styleId="C18">
    <w:name w:val="Unresolved Mention"/>
    <w:basedOn w:val="C0"/>
    <w:semiHidden/>
    <w:rPr>
      <w:color w:val="605E5C"/>
      <w:shd w:val="clear" w:color="auto" w:fill="E1DFDD"/>
    </w:rPr>
  </w:style>
  <w:style w:type="character" w:styleId="C19">
    <w:name w:val="annotation reference"/>
    <w:basedOn w:val="C0"/>
    <w:semiHidden/>
    <w:rPr>
      <w:sz w:val="16"/>
      <w:szCs w:val="16"/>
    </w:rPr>
  </w:style>
  <w:style w:type="character" w:styleId="C20">
    <w:name w:val="Текст примітки Знак"/>
    <w:basedOn w:val="C0"/>
    <w:link w:val="P16"/>
    <w:semiHidden/>
    <w:rPr>
      <w:sz w:val="20"/>
      <w:szCs w:val="20"/>
    </w:rPr>
  </w:style>
  <w:style w:type="character" w:styleId="C21">
    <w:name w:val="Тема примітки Знак"/>
    <w:basedOn w:val="C20"/>
    <w:link w:val="P17"/>
    <w:semiHidden/>
    <w:rPr>
      <w:b w:val="1"/>
      <w:bCs w:val="1"/>
      <w:sz w:val="20"/>
      <w:szCs w:val="20"/>
    </w:rPr>
  </w:style>
  <w:style w:type="character" w:styleId="C22">
    <w:name w:val="Текст у виносці Знак"/>
    <w:basedOn w:val="C0"/>
    <w:link w:val="P18"/>
    <w:semiHidden/>
    <w:rPr>
      <w:rFonts w:ascii="Segoe UI" w:hAnsi="Segoe UI"/>
      <w:sz w:val="18"/>
      <w:szCs w:val="18"/>
    </w:rPr>
  </w:style>
  <w:style w:type="table" w:styleId="T0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2">
    <w:name w:val="Table Grid"/>
    <w:basedOn w:val="T0"/>
    <w:pPr>
      <w:spacing w:lineRule="auto" w:line="240" w:after="0" w:beforeAutospacing="0" w:afterAutospacing="0"/>
    </w:pPr>
    <w:tblPr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</w:tblPr>
    <w:trPr/>
    <w:tcPr/>
  </w:style>
  <w:style w:type="numbering" w:styleId="N0">
    <w:name w:val="No List"/>
  </w:style>
</w:styles>
</file>

<file path=word/_rels/document.xml.rels>&#65279;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mpd="sng" algn="ctr">
          <a:solidFill>
            <a:schemeClr val="phClr"/>
          </a:solidFill>
          <a:prstDash val="solid"/>
          <a:miter lim="800000"/>
        </a:ln>
        <a:ln w="12700" cmpd="sng" algn="ctr">
          <a:solidFill>
            <a:schemeClr val="phClr"/>
          </a:solidFill>
          <a:prstDash val="solid"/>
          <a:miter lim="800000"/>
        </a:ln>
        <a:ln w="19050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</a:theme>
</file>

<file path=docProps/app.xml><?xml version="1.0" encoding="utf-8"?>
<Properties xmlns="http://schemas.openxmlformats.org/officeDocument/2006/extended-properties">
  <Application>DevExpress Office File API/21.1.3.0</Application>
  <AppVersion>21.1</AppVersion>
  <Template>Normal</Template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Яна Луценко</dc:creator>
  <dcterms:created xsi:type="dcterms:W3CDTF">2024-09-05T13:16:00Z</dcterms:created>
  <cp:lastModifiedBy>pool-iis</cp:lastModifiedBy>
  <dcterms:modified xsi:type="dcterms:W3CDTF">2024-09-13T09:33:31Z</dcterms:modified>
  <cp:revision>5</cp:revision>
</cp:coreProperties>
</file>