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F91" w:rsidRDefault="00ED2F91" w:rsidP="00ED2F91">
      <w:pPr>
        <w:shd w:val="clear" w:color="auto" w:fill="FFFFFF"/>
        <w:spacing w:line="240" w:lineRule="auto"/>
        <w:jc w:val="center"/>
        <w:rPr>
          <w:rFonts w:ascii="Times New Roman" w:hAnsi="Times New Roman"/>
          <w:b/>
          <w:sz w:val="24"/>
          <w:szCs w:val="24"/>
          <w:lang w:val="uk-UA"/>
        </w:rPr>
      </w:pPr>
      <w:r>
        <w:rPr>
          <w:rFonts w:ascii="Times New Roman" w:hAnsi="Times New Roman"/>
          <w:b/>
          <w:sz w:val="24"/>
          <w:szCs w:val="24"/>
        </w:rPr>
        <w:t xml:space="preserve">Умови закупівлі медичних послуг, які будуть надаватись за </w:t>
      </w:r>
      <w:r>
        <w:rPr>
          <w:rFonts w:ascii="Times New Roman" w:hAnsi="Times New Roman"/>
          <w:b/>
          <w:sz w:val="24"/>
          <w:szCs w:val="24"/>
          <w:lang w:val="uk-UA"/>
        </w:rPr>
        <w:t>д</w:t>
      </w:r>
      <w:r>
        <w:rPr>
          <w:rFonts w:ascii="Times New Roman" w:hAnsi="Times New Roman"/>
          <w:b/>
          <w:sz w:val="24"/>
          <w:szCs w:val="24"/>
        </w:rPr>
        <w:t>оговором</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bookmarkStart w:id="0" w:name="_Hlk214814382"/>
      <w:r>
        <w:rPr>
          <w:rFonts w:ascii="Times New Roman" w:hAnsi="Times New Roman"/>
          <w:i/>
          <w:color w:val="000000"/>
          <w:sz w:val="24"/>
          <w:szCs w:val="24"/>
        </w:rPr>
        <w:t>Умови надання послуги</w:t>
      </w:r>
      <w:r>
        <w:rPr>
          <w:rFonts w:ascii="Times New Roman" w:hAnsi="Times New Roman"/>
          <w:color w:val="000000"/>
          <w:sz w:val="24"/>
          <w:szCs w:val="24"/>
        </w:rPr>
        <w:t xml:space="preserve">: амбулаторно (зокрема, в умовах приймального відділення/відділенні екстреної та невідкладної допомоги/травмпункті), за місцем проживання (перебування) пацієнта/пацієнтки при наявності медичних показань (за рішенням лікуючого лікаря-спеціаліста) або з використанням </w:t>
      </w:r>
      <w:r>
        <w:rPr>
          <w:rFonts w:ascii="Times New Roman" w:hAnsi="Times New Roman"/>
          <w:color w:val="333333"/>
          <w:sz w:val="24"/>
          <w:szCs w:val="24"/>
          <w:highlight w:val="white"/>
        </w:rPr>
        <w:t>технічних засобів електронних комунікацій</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spacing w:before="240"/>
        <w:jc w:val="both"/>
        <w:rPr>
          <w:rFonts w:ascii="Times New Roman" w:hAnsi="Times New Roman"/>
          <w:color w:val="000000"/>
          <w:sz w:val="24"/>
          <w:szCs w:val="24"/>
        </w:rPr>
      </w:pPr>
      <w:r>
        <w:rPr>
          <w:rFonts w:ascii="Times New Roman" w:hAnsi="Times New Roman"/>
          <w:color w:val="000000"/>
          <w:sz w:val="24"/>
          <w:szCs w:val="24"/>
        </w:rPr>
        <w:t xml:space="preserve"> </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i/>
          <w:color w:val="000000"/>
          <w:sz w:val="24"/>
          <w:szCs w:val="24"/>
        </w:rPr>
        <w:t>Підстави надання послуги</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направлення лікаря з надання ПМД, якого обрано за декларацією про вибір лікаря;</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направлення лікуючого лікаря-спеціаліста;</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самозвернення до лікаря-акушера-гінеколога, лікаря-гінеколога дитячого та підліткового віку, лікаря-педіатра, лікаря-нарколога, лікаря-фтизіатра, лікаря-фтизіатра дитячого;</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 xml:space="preserve">самозвернення до лікаря-психолога, лікаря-психіатра, лікаря-психіатра дитячого, лікаря-психіатра підліткового, </w:t>
      </w:r>
      <w:r>
        <w:rPr>
          <w:rFonts w:ascii="Times New Roman" w:hAnsi="Times New Roman"/>
          <w:color w:val="1F1F1F"/>
          <w:sz w:val="24"/>
          <w:szCs w:val="24"/>
        </w:rPr>
        <w:t>лікаря-психотерапевта,</w:t>
      </w:r>
      <w:r>
        <w:rPr>
          <w:rFonts w:ascii="Times New Roman" w:hAnsi="Times New Roman"/>
          <w:color w:val="000000"/>
          <w:sz w:val="24"/>
          <w:szCs w:val="24"/>
        </w:rPr>
        <w:t xml:space="preserve"> клінічного психолога  - для закладів, </w:t>
      </w:r>
      <w:r>
        <w:rPr>
          <w:rFonts w:ascii="Times New Roman" w:hAnsi="Times New Roman"/>
          <w:sz w:val="24"/>
          <w:szCs w:val="24"/>
        </w:rPr>
        <w:t>у</w:t>
      </w:r>
      <w:r>
        <w:rPr>
          <w:rFonts w:ascii="Times New Roman" w:hAnsi="Times New Roman"/>
          <w:color w:val="000000"/>
          <w:sz w:val="24"/>
          <w:szCs w:val="24"/>
        </w:rPr>
        <w:t xml:space="preserve"> яких відсутній договір за пакетом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самозвернення до лікаря-спеціаліста, у якого пацієнт/пацієнтка із хронічними захворюваннями перебуває під медичним наглядом;</w:t>
      </w:r>
    </w:p>
    <w:p w:rsidR="00ED2F91" w:rsidRDefault="00ED2F91" w:rsidP="00ED2F9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самозвернення у невідкладному стані. </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lang w:val="uk-UA"/>
        </w:rPr>
      </w:pPr>
      <w:r>
        <w:rPr>
          <w:rFonts w:ascii="Times New Roman" w:hAnsi="Times New Roman"/>
          <w:i/>
          <w:color w:val="000000"/>
          <w:sz w:val="24"/>
          <w:szCs w:val="24"/>
        </w:rPr>
        <w:t>Додаткові підстави надання послуги:</w:t>
      </w:r>
    </w:p>
    <w:p w:rsidR="00ED2F91" w:rsidRPr="008F4EA1" w:rsidRDefault="00ED2F91" w:rsidP="00ED2F91">
      <w:pPr>
        <w:pBdr>
          <w:top w:val="nil"/>
          <w:left w:val="nil"/>
          <w:bottom w:val="nil"/>
          <w:right w:val="nil"/>
          <w:between w:val="nil"/>
        </w:pBdr>
        <w:shd w:val="clear" w:color="auto" w:fill="FFFFFF"/>
        <w:spacing w:line="240" w:lineRule="auto"/>
        <w:ind w:firstLine="567"/>
        <w:jc w:val="both"/>
        <w:rPr>
          <w:rFonts w:ascii="Times New Roman" w:hAnsi="Times New Roman"/>
          <w:i/>
          <w:color w:val="000000"/>
          <w:sz w:val="24"/>
          <w:szCs w:val="24"/>
        </w:rPr>
      </w:pPr>
      <w:r>
        <w:rPr>
          <w:rFonts w:ascii="Times New Roman" w:hAnsi="Times New Roman"/>
          <w:color w:val="000000"/>
          <w:sz w:val="24"/>
          <w:szCs w:val="24"/>
        </w:rPr>
        <w:t>доставлення бригадою екстреної (швидкої) медичної допомоги;</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самозвернення у невідкладному стані;</w:t>
      </w:r>
    </w:p>
    <w:p w:rsidR="00ED2F91" w:rsidRDefault="00ED2F91" w:rsidP="00ED2F9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направлення лікуючим лікарем пацієнтів за групами захворювань, викладених у Додатку</w:t>
      </w:r>
      <w:r>
        <w:rPr>
          <w:rFonts w:ascii="Times New Roman" w:hAnsi="Times New Roman"/>
          <w:color w:val="000000"/>
          <w:sz w:val="24"/>
          <w:szCs w:val="24"/>
          <w:lang w:val="uk-UA"/>
        </w:rPr>
        <w:t> </w:t>
      </w:r>
      <w:r>
        <w:rPr>
          <w:rFonts w:ascii="Times New Roman" w:hAnsi="Times New Roman"/>
          <w:color w:val="000000"/>
          <w:sz w:val="24"/>
          <w:szCs w:val="24"/>
        </w:rPr>
        <w:t>2.</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Вимоги до організації надання послуги:</w:t>
      </w:r>
    </w:p>
    <w:p w:rsidR="00ED2F91" w:rsidRPr="00654913" w:rsidRDefault="00ED2F91" w:rsidP="00ED2F91">
      <w:pPr>
        <w:pStyle w:val="ab"/>
        <w:numPr>
          <w:ilvl w:val="2"/>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Надання консультативно-діагностичної, лікувально-профілактичної спеціалізованої медичної допомоги та послуг у галузі охорони здоров’я за таких умов:</w:t>
      </w:r>
    </w:p>
    <w:p w:rsidR="00ED2F91" w:rsidRPr="00654913" w:rsidRDefault="00ED2F91" w:rsidP="00ED2F9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 xml:space="preserve">надання послуг щонайменше за двома будь-якими сервісами </w:t>
      </w:r>
      <w:r w:rsidRPr="00654913">
        <w:rPr>
          <w:rFonts w:ascii="Times New Roman" w:hAnsi="Times New Roman"/>
        </w:rPr>
        <w:t xml:space="preserve">- </w:t>
      </w:r>
      <w:r w:rsidRPr="00654913">
        <w:rPr>
          <w:rFonts w:ascii="Times New Roman" w:hAnsi="Times New Roman"/>
          <w:color w:val="000000"/>
        </w:rPr>
        <w:t>для монопрофільних закладів охорони здоров’я, зокрема, онкологічних, інфекційних, фтизіатричних, психіатричних, шкірно-венерологічних, а також для закладів державної форми власності та закладів, які надають допомогу дітям</w:t>
      </w:r>
    </w:p>
    <w:p w:rsidR="00ED2F91" w:rsidRPr="00654913" w:rsidRDefault="00ED2F91" w:rsidP="00ED2F9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або</w:t>
      </w:r>
    </w:p>
    <w:p w:rsidR="00ED2F91" w:rsidRPr="00654913" w:rsidRDefault="00ED2F91" w:rsidP="00ED2F9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 xml:space="preserve">надання послуг щонайменше за двома класами сервісу «Консультування та лікування» та одним класом сервісу «Процедури» та щонайменше за двома класами сервісів «Лабораторна діагностика» та/або «Інструментальна діагностика» </w:t>
      </w:r>
      <w:r w:rsidRPr="00654913">
        <w:rPr>
          <w:rFonts w:ascii="Times New Roman" w:hAnsi="Times New Roman"/>
        </w:rPr>
        <w:t xml:space="preserve">- </w:t>
      </w:r>
      <w:r w:rsidRPr="00654913">
        <w:rPr>
          <w:rFonts w:ascii="Times New Roman" w:hAnsi="Times New Roman"/>
          <w:color w:val="000000"/>
        </w:rPr>
        <w:t>для всіх інших закладів охорони здоров’я;</w:t>
      </w:r>
    </w:p>
    <w:p w:rsidR="00ED2F91" w:rsidRPr="00654913" w:rsidRDefault="00ED2F91" w:rsidP="00ED2F9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або</w:t>
      </w:r>
    </w:p>
    <w:p w:rsidR="00ED2F91" w:rsidRPr="00654913" w:rsidRDefault="00ED2F91" w:rsidP="00ED2F9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надання послуг з МРТ та/або КТ досліджень за сервісом «Інструментальна діагностика» (доступно за умови укладення договору в рамках пакету виключно за цими класами сервісу).</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Проведення лабораторних досліджень, визначених специфікаціями, у закладі за певним/и класом/ми сервісу «Лабораторна діагностика» (за умови наявності необхідного обладнання). </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lastRenderedPageBreak/>
        <w:t>Проведення інструментальних методів дослідження відповідно до напряму надання допомоги у ЗОЗ та галузевих стандартів у сфері охорони здоров’я (за умови наявності відповідного обладнання в ЗОЗ).</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малої операційної у ЗОЗ за умови надання послуг за сервісом «Процедури».</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Наявність лікаря-спеціаліста відповідно до наявного обладнання та профілю медичних послуг, які надаються у ЗОЗ. </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Взаємодія з іншими надавачами медичних послуг для своєчасного та ефективного надання допомоги пацієнтам.</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w:t>
      </w:r>
    </w:p>
    <w:p w:rsidR="00ED2F91"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плану протиепідемічної готовності/реагування на випадок виявлення особливо небезпечних інфекційних хвороб.</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Дотримання вимог законодавства у сфері протидії насильству, зокрема виявлення ознак насильства у пацієнт</w:t>
      </w:r>
      <w:r w:rsidRPr="00654913">
        <w:rPr>
          <w:rFonts w:ascii="Times New Roman" w:hAnsi="Times New Roman"/>
        </w:rPr>
        <w:t>а/пацієнтки</w:t>
      </w:r>
      <w:r w:rsidRPr="00654913">
        <w:rPr>
          <w:rFonts w:ascii="Times New Roman" w:hAnsi="Times New Roman"/>
          <w:color w:val="000000"/>
        </w:rPr>
        <w:t xml:space="preserve"> та повідомлення відповідних служб </w:t>
      </w:r>
      <w:r w:rsidRPr="00654913">
        <w:rPr>
          <w:rFonts w:ascii="Times New Roman" w:hAnsi="Times New Roman"/>
        </w:rPr>
        <w:t>відповідно до вимог</w:t>
      </w:r>
      <w:r w:rsidRPr="00654913">
        <w:rPr>
          <w:rFonts w:ascii="Times New Roman" w:hAnsi="Times New Roman"/>
          <w:color w:val="000000"/>
        </w:rPr>
        <w:t xml:space="preserve"> законодавств</w:t>
      </w:r>
      <w:r w:rsidRPr="00654913">
        <w:rPr>
          <w:rFonts w:ascii="Times New Roman" w:hAnsi="Times New Roman"/>
        </w:rPr>
        <w:t>а</w:t>
      </w:r>
      <w:r w:rsidRPr="00654913">
        <w:rPr>
          <w:rFonts w:ascii="Times New Roman" w:hAnsi="Times New Roman"/>
          <w:color w:val="000000"/>
        </w:rPr>
        <w:t xml:space="preserve">. </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Забезпечення проведення постконтактної профілактики пацієнтам з інфекціями, що передаються статевим шляхом, у разі насильства за ознакою статі.</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Забезпечення надання медичної допомоги засобами </w:t>
      </w:r>
      <w:r w:rsidRPr="00654913">
        <w:rPr>
          <w:rFonts w:ascii="Times New Roman" w:hAnsi="Times New Roman"/>
        </w:rPr>
        <w:t>телемедицини</w:t>
      </w:r>
      <w:r w:rsidRPr="00654913">
        <w:rPr>
          <w:rFonts w:ascii="Times New Roman" w:hAnsi="Times New Roman"/>
          <w:color w:val="000000"/>
        </w:rPr>
        <w:t xml:space="preserve">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Забезпечення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Забезпечення безкоштовного доступного функціонування електронної черги запису пацієнтів на планові консультації до спеціалістів, на процедури та/або планові лабораторні та інструментальні обстеження для надання послуг в межах визначених класів, за якими надавач уклав договір з НСЗУ (крім закладів, які не мають в своїй структурі амбулаторних підрозділів), із дотриманням таких вимог: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відкриття черги з надання послуг з визначеною кількістю місць на кожен день для запису на послуги в межах класів/сервісів має відбуватися щонайменше за 30 календарних днів;</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lastRenderedPageBreak/>
        <w:t>кількість місць для запису за визначеними сервісами та класами повинна відповідати спроможності закладу, тобто кількості лікарів-спеціалістів, які зареєстровані в ЕСОЗ і які надають медичну спеціалізовану допомогу відповідно до класу, кількості одиниць відповідного обладнання, функціональної потужності закладу;</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кількість місць для запису на прийом на кожен робочий день в межах сервісу “Консультування та лікування” має становити не менше ніж 10 пацієнтів із розрахунку на одного лікаря-спеціаліста, зареєстрованого в ЕСОЗ</w:t>
      </w:r>
      <w:r>
        <w:rPr>
          <w:rFonts w:ascii="Times New Roman" w:hAnsi="Times New Roman"/>
          <w:sz w:val="24"/>
          <w:szCs w:val="24"/>
        </w:rPr>
        <w:t>;</w:t>
      </w:r>
      <w:r>
        <w:rPr>
          <w:rFonts w:ascii="Times New Roman" w:hAnsi="Times New Roman"/>
          <w:color w:val="000000"/>
          <w:sz w:val="24"/>
          <w:szCs w:val="24"/>
        </w:rPr>
        <w:t xml:space="preserve">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кількість місць для запису на прийом на кожен робочий день в межах сервісу «Процедури»  має становити не менше ніж 8 пацієнтів із розрахунку на одного лікаря-спеціаліста, зареєстрованого в ЕСОЗ;</w:t>
      </w:r>
    </w:p>
    <w:p w:rsidR="00ED2F91" w:rsidRDefault="00ED2F91" w:rsidP="00ED2F9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кількість місць для запису на обстеження на кожен робочий день в межах сервісу “Інструментальна діагностика” має становити не менше ніж: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 xml:space="preserve">8 пацієнтів з розрахунку на один діагностичний апарат для класу </w:t>
      </w:r>
      <w:r>
        <w:rPr>
          <w:rFonts w:ascii="Times New Roman" w:hAnsi="Times New Roman"/>
          <w:i/>
          <w:color w:val="000000"/>
          <w:sz w:val="24"/>
          <w:szCs w:val="24"/>
        </w:rPr>
        <w:t>Магнітно-резонансна томографія</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8 пацієнтів з розрахунку на один діагностичний апарат</w:t>
      </w:r>
      <w:r>
        <w:rPr>
          <w:rFonts w:ascii="Times New Roman" w:hAnsi="Times New Roman"/>
          <w:i/>
          <w:color w:val="000000"/>
          <w:sz w:val="24"/>
          <w:szCs w:val="24"/>
        </w:rPr>
        <w:t xml:space="preserve"> для класу «Комп’ютерна томографія»</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15 пацієнтів з розрахунку на один діагностичний апарат</w:t>
      </w:r>
      <w:r>
        <w:rPr>
          <w:rFonts w:ascii="Times New Roman" w:hAnsi="Times New Roman"/>
          <w:i/>
          <w:color w:val="000000"/>
          <w:sz w:val="24"/>
          <w:szCs w:val="24"/>
        </w:rPr>
        <w:t xml:space="preserve"> для класу «Рентгенологічні дослідження»</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10 пацієнтів з розрахунку на один діагностичний апарат для класу «</w:t>
      </w:r>
      <w:r>
        <w:rPr>
          <w:rFonts w:ascii="Times New Roman" w:hAnsi="Times New Roman"/>
          <w:i/>
          <w:color w:val="000000"/>
          <w:sz w:val="24"/>
          <w:szCs w:val="24"/>
        </w:rPr>
        <w:t>УЗД»</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10 пацієнтів з розрахунку на один діагностичний апарат для класу</w:t>
      </w:r>
      <w:r>
        <w:rPr>
          <w:rFonts w:ascii="Times New Roman" w:hAnsi="Times New Roman"/>
          <w:i/>
          <w:color w:val="000000"/>
          <w:sz w:val="24"/>
          <w:szCs w:val="24"/>
        </w:rPr>
        <w:t xml:space="preserve"> «Клінічні інструментальні дослідження»</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кількість місць для запису на прийом на кожен день для надання медичної допомоги в межах сервісу “Лабораторна  діагностика” має становити не менше ніж 10  пацієнтів з розрахунку на кожен клас даного сервісу;</w:t>
      </w:r>
    </w:p>
    <w:p w:rsidR="00ED2F91" w:rsidRDefault="00ED2F91" w:rsidP="00ED2F9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забезпечення можливості для запису пацієнтів по телефону медичним співробітником надавача медичних послуг.</w:t>
      </w:r>
    </w:p>
    <w:p w:rsidR="00ED2F91" w:rsidRPr="00654913" w:rsidRDefault="00ED2F91" w:rsidP="00ED2F9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sz w:val="14"/>
          <w:szCs w:val="14"/>
        </w:rPr>
        <w:t xml:space="preserve"> </w:t>
      </w:r>
      <w:r w:rsidRPr="00654913">
        <w:rPr>
          <w:rFonts w:ascii="Times New Roman" w:hAnsi="Times New Roman"/>
          <w:color w:val="000000"/>
        </w:rPr>
        <w:t>Забезпечення функціонування  вебсайту надавача медичних послуг з оновленою актуальною інформацією щодо:</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детального переліку послуг, які надаються в межах пакету медичних послуг за сервісами та класами;</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переліку спеціалістів та фахівців, які надають медичну допомогу в межах кожного класу послуг за кожним сервісом, а також  графіку їх роботи;</w:t>
      </w:r>
    </w:p>
    <w:p w:rsidR="00ED2F91" w:rsidRPr="00654913" w:rsidRDefault="00ED2F91" w:rsidP="00ED2F9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lang w:val="uk-UA"/>
        </w:rPr>
      </w:pPr>
      <w:r>
        <w:rPr>
          <w:rFonts w:ascii="Times New Roman" w:hAnsi="Times New Roman"/>
          <w:color w:val="000000"/>
          <w:sz w:val="24"/>
          <w:szCs w:val="24"/>
        </w:rPr>
        <w:t>номерів телефонів реєстратури або інших осіб, які надають необхідну інформацію для пацієнта.</w:t>
      </w:r>
    </w:p>
    <w:p w:rsidR="00ED2F91" w:rsidRPr="00654913" w:rsidRDefault="00ED2F91" w:rsidP="00ED2F91">
      <w:pPr>
        <w:pStyle w:val="ab"/>
        <w:numPr>
          <w:ilvl w:val="0"/>
          <w:numId w:val="1"/>
        </w:numPr>
        <w:pBdr>
          <w:top w:val="nil"/>
          <w:left w:val="nil"/>
          <w:bottom w:val="nil"/>
          <w:right w:val="nil"/>
          <w:between w:val="nil"/>
        </w:pBdr>
        <w:shd w:val="clear" w:color="auto" w:fill="FFFFFF"/>
        <w:spacing w:before="240"/>
        <w:ind w:left="0" w:firstLine="567"/>
        <w:jc w:val="both"/>
        <w:rPr>
          <w:rFonts w:ascii="Times New Roman" w:hAnsi="Times New Roman"/>
          <w:bCs/>
          <w:color w:val="000000"/>
        </w:rPr>
      </w:pPr>
      <w:r w:rsidRPr="00654913">
        <w:rPr>
          <w:rFonts w:ascii="Times New Roman" w:hAnsi="Times New Roman"/>
          <w:bCs/>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Додаткові</w:t>
      </w:r>
      <w:r>
        <w:rPr>
          <w:rFonts w:ascii="Times New Roman" w:hAnsi="Times New Roman"/>
          <w:color w:val="000000"/>
          <w:sz w:val="24"/>
          <w:szCs w:val="24"/>
        </w:rPr>
        <w:t xml:space="preserve"> </w:t>
      </w:r>
      <w:r>
        <w:rPr>
          <w:rFonts w:ascii="Times New Roman" w:hAnsi="Times New Roman"/>
          <w:i/>
          <w:color w:val="000000"/>
          <w:sz w:val="24"/>
          <w:szCs w:val="24"/>
        </w:rPr>
        <w:t>вимоги до організації надання послуги:</w:t>
      </w:r>
    </w:p>
    <w:p w:rsidR="00ED2F91" w:rsidRDefault="00ED2F91" w:rsidP="00ED2F91">
      <w:pPr>
        <w:numPr>
          <w:ilvl w:val="0"/>
          <w:numId w:val="3"/>
        </w:numPr>
        <w:pBdr>
          <w:top w:val="nil"/>
          <w:left w:val="nil"/>
          <w:bottom w:val="nil"/>
          <w:right w:val="nil"/>
          <w:between w:val="nil"/>
        </w:pBdr>
        <w:shd w:val="clear" w:color="auto" w:fill="FFFFFF"/>
        <w:spacing w:before="240"/>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надання цілодобової спеціалізованої медичної допомоги пацієнтам під час перебування їх в приймальному відділенні/відділенні екстреної та невідкладної </w:t>
      </w:r>
      <w:r>
        <w:rPr>
          <w:rFonts w:ascii="Times New Roman" w:hAnsi="Times New Roman"/>
          <w:color w:val="000000"/>
          <w:sz w:val="24"/>
          <w:szCs w:val="24"/>
        </w:rPr>
        <w:lastRenderedPageBreak/>
        <w:t>допомоги/травмпункті в кластерн</w:t>
      </w:r>
      <w:r>
        <w:rPr>
          <w:rFonts w:ascii="Times New Roman" w:hAnsi="Times New Roman"/>
          <w:sz w:val="24"/>
          <w:szCs w:val="24"/>
        </w:rPr>
        <w:t>ому</w:t>
      </w:r>
      <w:r>
        <w:rPr>
          <w:rFonts w:ascii="Times New Roman" w:hAnsi="Times New Roman"/>
          <w:color w:val="000000"/>
          <w:sz w:val="24"/>
          <w:szCs w:val="24"/>
        </w:rPr>
        <w:t xml:space="preserve"> або надкластерн</w:t>
      </w:r>
      <w:r>
        <w:rPr>
          <w:rFonts w:ascii="Times New Roman" w:hAnsi="Times New Roman"/>
          <w:sz w:val="24"/>
          <w:szCs w:val="24"/>
        </w:rPr>
        <w:t xml:space="preserve">ому </w:t>
      </w:r>
      <w:r>
        <w:rPr>
          <w:rFonts w:ascii="Times New Roman" w:hAnsi="Times New Roman"/>
          <w:color w:val="000000"/>
          <w:sz w:val="24"/>
          <w:szCs w:val="24"/>
        </w:rPr>
        <w:t xml:space="preserve"> </w:t>
      </w:r>
      <w:r>
        <w:rPr>
          <w:rFonts w:ascii="Times New Roman" w:hAnsi="Times New Roman"/>
          <w:sz w:val="24"/>
          <w:szCs w:val="24"/>
        </w:rPr>
        <w:t>закладі охорони здоров'я (ЗОЗ)</w:t>
      </w:r>
      <w:r>
        <w:rPr>
          <w:rFonts w:ascii="Times New Roman" w:hAnsi="Times New Roman"/>
          <w:color w:val="000000"/>
          <w:sz w:val="24"/>
          <w:szCs w:val="24"/>
        </w:rPr>
        <w:t>. Стосується пацієнтів, які:</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 xml:space="preserve">переведені в інший </w:t>
      </w:r>
      <w:r>
        <w:rPr>
          <w:rFonts w:ascii="Times New Roman" w:hAnsi="Times New Roman"/>
          <w:sz w:val="24"/>
          <w:szCs w:val="24"/>
        </w:rPr>
        <w:t>ЗОЗ</w:t>
      </w:r>
      <w:r>
        <w:rPr>
          <w:rFonts w:ascii="Times New Roman" w:hAnsi="Times New Roman"/>
          <w:color w:val="000000"/>
          <w:sz w:val="24"/>
          <w:szCs w:val="24"/>
        </w:rPr>
        <w:t xml:space="preserve"> після стабілізації стану (без госпіталізації пацієнтів);</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померли після доставлення їх у приймальне відділення/відділення екстреної та невідкладної допомоги/травмпункт;</w:t>
      </w:r>
    </w:p>
    <w:p w:rsidR="00ED2F91" w:rsidRDefault="00ED2F91" w:rsidP="00ED2F9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залишили </w:t>
      </w:r>
      <w:r>
        <w:rPr>
          <w:rFonts w:ascii="Times New Roman" w:hAnsi="Times New Roman"/>
          <w:sz w:val="24"/>
          <w:szCs w:val="24"/>
        </w:rPr>
        <w:t>ЗОЗ</w:t>
      </w:r>
      <w:r>
        <w:rPr>
          <w:rFonts w:ascii="Times New Roman" w:hAnsi="Times New Roman"/>
          <w:color w:val="000000"/>
          <w:sz w:val="24"/>
          <w:szCs w:val="24"/>
        </w:rPr>
        <w:t xml:space="preserve">  після надання їм медичної допомоги.</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14"/>
          <w:szCs w:val="14"/>
        </w:rPr>
        <w:t xml:space="preserve"> </w:t>
      </w:r>
      <w:r>
        <w:rPr>
          <w:rFonts w:ascii="Times New Roman" w:hAnsi="Times New Roman"/>
          <w:color w:val="000000"/>
          <w:sz w:val="24"/>
          <w:szCs w:val="24"/>
        </w:rPr>
        <w:t>Забезпечення цілодобового проведення лабораторних та інструментальних досліджень, визначених специфікац</w:t>
      </w:r>
      <w:r>
        <w:rPr>
          <w:rFonts w:ascii="Times New Roman" w:hAnsi="Times New Roman"/>
          <w:sz w:val="24"/>
          <w:szCs w:val="24"/>
        </w:rPr>
        <w:t>ією</w:t>
      </w:r>
      <w:r>
        <w:rPr>
          <w:rFonts w:ascii="Times New Roman" w:hAnsi="Times New Roman"/>
          <w:color w:val="000000"/>
          <w:sz w:val="24"/>
          <w:szCs w:val="24"/>
        </w:rPr>
        <w:t>.</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Вимоги до спеціалістів та кількості фахівців, які працюють на посадах:</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1. У ЗОЗ (сервіс «Консультування та лікування», «Процедури»):</w:t>
      </w:r>
    </w:p>
    <w:p w:rsidR="00ED2F91" w:rsidRPr="00654913" w:rsidRDefault="00ED2F91" w:rsidP="00ED2F91">
      <w:pPr>
        <w:pBdr>
          <w:top w:val="nil"/>
          <w:left w:val="nil"/>
          <w:bottom w:val="nil"/>
          <w:right w:val="nil"/>
          <w:between w:val="nil"/>
        </w:pBdr>
        <w:shd w:val="clear" w:color="auto" w:fill="FFFFFF"/>
        <w:spacing w:before="240"/>
        <w:ind w:firstLine="567"/>
        <w:jc w:val="both"/>
        <w:rPr>
          <w:rFonts w:ascii="Times New Roman" w:eastAsia="Times" w:hAnsi="Times New Roman"/>
          <w:color w:val="000000"/>
          <w:sz w:val="24"/>
          <w:szCs w:val="24"/>
        </w:rPr>
      </w:pPr>
      <w:r>
        <w:rPr>
          <w:rFonts w:ascii="Times New Roman" w:hAnsi="Times New Roman"/>
          <w:color w:val="000000"/>
          <w:sz w:val="24"/>
          <w:szCs w:val="24"/>
        </w:rPr>
        <w:t xml:space="preserve">a. </w:t>
      </w:r>
      <w:r w:rsidRPr="00654913">
        <w:rPr>
          <w:rFonts w:ascii="Times New Roman" w:hAnsi="Times New Roman"/>
          <w:color w:val="000000"/>
          <w:sz w:val="24"/>
          <w:szCs w:val="24"/>
        </w:rPr>
        <w:t xml:space="preserve">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w:t>
      </w:r>
      <w:r w:rsidRPr="00654913">
        <w:rPr>
          <w:rFonts w:ascii="Times New Roman" w:hAnsi="Times New Roman"/>
          <w:sz w:val="24"/>
          <w:szCs w:val="24"/>
          <w:highlight w:val="white"/>
        </w:rPr>
        <w:t>лікар-дерматолог-хірург</w:t>
      </w:r>
      <w:r w:rsidRPr="00654913">
        <w:rPr>
          <w:rFonts w:ascii="Times New Roman" w:eastAsia="Roboto" w:hAnsi="Times New Roman"/>
          <w:color w:val="444746"/>
          <w:sz w:val="24"/>
          <w:szCs w:val="24"/>
          <w:highlight w:val="white"/>
        </w:rPr>
        <w:t xml:space="preserve">, </w:t>
      </w:r>
      <w:r w:rsidRPr="00654913">
        <w:rPr>
          <w:rFonts w:ascii="Times New Roman" w:hAnsi="Times New Roman"/>
          <w:color w:val="000000"/>
          <w:sz w:val="24"/>
          <w:szCs w:val="24"/>
        </w:rPr>
        <w:t xml:space="preserve">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лікар-кардіоревматолог дитячий, та/або лікар-комбустіолог, та/або лікар-нарколог, та/або </w:t>
      </w:r>
      <w:r w:rsidRPr="00654913">
        <w:rPr>
          <w:rFonts w:ascii="Times New Roman" w:hAnsi="Times New Roman"/>
          <w:sz w:val="24"/>
          <w:szCs w:val="24"/>
        </w:rPr>
        <w:t xml:space="preserve">лікар-нарколог дільничний, </w:t>
      </w:r>
      <w:r w:rsidRPr="00654913">
        <w:rPr>
          <w:rFonts w:ascii="Times New Roman" w:hAnsi="Times New Roman"/>
          <w:color w:val="000000"/>
          <w:sz w:val="24"/>
          <w:szCs w:val="24"/>
        </w:rPr>
        <w:t xml:space="preserve">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w:t>
      </w:r>
      <w:r w:rsidRPr="00654913">
        <w:rPr>
          <w:rFonts w:ascii="Times New Roman" w:hAnsi="Times New Roman"/>
          <w:sz w:val="24"/>
          <w:szCs w:val="24"/>
        </w:rPr>
        <w:t>та/або лікар-гематолог-онколог дитячий,</w:t>
      </w:r>
      <w:r w:rsidRPr="00654913">
        <w:rPr>
          <w:rFonts w:ascii="Times New Roman" w:hAnsi="Times New Roman"/>
          <w:color w:val="000000"/>
          <w:sz w:val="24"/>
          <w:szCs w:val="24"/>
        </w:rPr>
        <w:t xml:space="preserve">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лікар-профпатолог, та/або лікар-психіатр, та/або лікар-психіатр дитячий, та/або лікар-психіатр підлітковий, та/або лікар-психолог, та/або лікар-психотерапевт, та/або лікар-пульмонолог, та/або лікар-пульмонолог дитячий, та/або лікар-ревматолог, та/або лікар-ревматолог дитячий, та/або лікар-рефлексотерапевт, та/або лікар-сурдолог, та/або лікар-терапевт, та/або лікар-терапевт підлітковий, та/або лікар-токсиколог, та/або лікар-уролог, та/або лікар-уролог дитячий, та/або лікар-фізіотерапевт,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 з лікувальної фізкультури і спортивної медицини, та/або лікар з лікувальної фізкультури, та/або лікар-хірург щелепно-лицевий, та/або лікар-трансплантолог, та/або лікар приймальної палати (відділення), та/або лікар з медицини невідкладних станів,</w:t>
      </w:r>
      <w:r w:rsidRPr="00654913">
        <w:rPr>
          <w:rFonts w:ascii="Times New Roman" w:eastAsia="Roboto" w:hAnsi="Times New Roman"/>
          <w:color w:val="444746"/>
          <w:sz w:val="24"/>
          <w:szCs w:val="24"/>
        </w:rPr>
        <w:t xml:space="preserve"> </w:t>
      </w:r>
      <w:r w:rsidRPr="00654913">
        <w:rPr>
          <w:rFonts w:ascii="Times New Roman" w:hAnsi="Times New Roman"/>
          <w:color w:val="000000"/>
          <w:sz w:val="24"/>
          <w:szCs w:val="24"/>
        </w:rPr>
        <w:t xml:space="preserve">та/або </w:t>
      </w:r>
      <w:r w:rsidRPr="00654913">
        <w:rPr>
          <w:rFonts w:ascii="Times New Roman" w:hAnsi="Times New Roman"/>
          <w:sz w:val="24"/>
          <w:szCs w:val="24"/>
        </w:rPr>
        <w:t>л</w:t>
      </w:r>
      <w:r w:rsidRPr="00654913">
        <w:rPr>
          <w:rFonts w:ascii="Times New Roman" w:hAnsi="Times New Roman"/>
          <w:color w:val="000000"/>
          <w:sz w:val="24"/>
          <w:szCs w:val="24"/>
        </w:rPr>
        <w:t xml:space="preserve">ікар з радіаційної онкології </w:t>
      </w:r>
      <w:r w:rsidRPr="00654913">
        <w:rPr>
          <w:rFonts w:ascii="Times New Roman" w:hAnsi="Times New Roman"/>
          <w:sz w:val="24"/>
          <w:szCs w:val="24"/>
        </w:rPr>
        <w:t xml:space="preserve">та/або лікар з ядерної медицини та/або </w:t>
      </w:r>
      <w:r w:rsidRPr="00654913">
        <w:rPr>
          <w:rFonts w:ascii="Times New Roman" w:hAnsi="Times New Roman"/>
          <w:color w:val="000000"/>
          <w:sz w:val="24"/>
          <w:szCs w:val="24"/>
        </w:rPr>
        <w:t xml:space="preserve">клінічний психолог – щонайменше 8 осіб із зазначеного переліку, які працюють за основним місцем роботи в цьому ЗОЗ, </w:t>
      </w:r>
      <w:r w:rsidRPr="00654913">
        <w:rPr>
          <w:rFonts w:ascii="Times New Roman" w:eastAsia="Times" w:hAnsi="Times New Roman"/>
          <w:color w:val="000000"/>
          <w:sz w:val="24"/>
          <w:szCs w:val="24"/>
        </w:rPr>
        <w:t>відповідно до  класу/ів сервісу/ів.</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color w:val="000000"/>
          <w:sz w:val="24"/>
          <w:szCs w:val="24"/>
        </w:rPr>
        <w:t>b. Сестра медична (брат медичний) та/або фельдшер з медицини невідкладних станів</w:t>
      </w:r>
      <w:r>
        <w:rPr>
          <w:rFonts w:ascii="Roboto" w:eastAsia="Roboto" w:hAnsi="Roboto" w:cs="Roboto"/>
          <w:color w:val="444746"/>
          <w:sz w:val="21"/>
          <w:szCs w:val="21"/>
        </w:rPr>
        <w:t xml:space="preserve"> </w:t>
      </w:r>
      <w:r>
        <w:rPr>
          <w:rFonts w:ascii="Times New Roman" w:hAnsi="Times New Roman"/>
          <w:color w:val="000000"/>
          <w:sz w:val="24"/>
          <w:szCs w:val="24"/>
        </w:rPr>
        <w:t>– щонайменше 8 осіб, які працюють за основним місцем роботи в цьому ЗОЗ.</w:t>
      </w:r>
      <w:r>
        <w:rPr>
          <w:rFonts w:ascii="Times New Roman" w:hAnsi="Times New Roman"/>
          <w:i/>
          <w:color w:val="000000"/>
          <w:sz w:val="24"/>
          <w:szCs w:val="24"/>
        </w:rPr>
        <w:t xml:space="preserve"> </w:t>
      </w:r>
    </w:p>
    <w:p w:rsidR="00ED2F91" w:rsidRDefault="00ED2F91" w:rsidP="00ED2F91">
      <w:pPr>
        <w:pBdr>
          <w:top w:val="nil"/>
          <w:left w:val="nil"/>
          <w:bottom w:val="nil"/>
          <w:right w:val="nil"/>
          <w:between w:val="nil"/>
        </w:pBdr>
        <w:shd w:val="clear" w:color="auto" w:fill="FFFFFF"/>
        <w:spacing w:before="240"/>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2. У ЗОЗ (сервіс «Лабораторна діагностика»):</w:t>
      </w:r>
    </w:p>
    <w:p w:rsidR="00ED2F91" w:rsidRPr="00654913"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sidRPr="00654913">
        <w:rPr>
          <w:rFonts w:ascii="Times New Roman" w:hAnsi="Times New Roman"/>
          <w:color w:val="000000"/>
          <w:sz w:val="24"/>
          <w:szCs w:val="24"/>
        </w:rPr>
        <w:t xml:space="preserve">Лікар-лаборант та/або лікар-лаборант-імунолог, та/або імунолог, та/або лікар-лаборант з клінічної біохімії, та/або лікар-лаборант-генетик, </w:t>
      </w:r>
      <w:r w:rsidRPr="00654913">
        <w:rPr>
          <w:rFonts w:ascii="Times New Roman" w:hAnsi="Times New Roman"/>
          <w:sz w:val="24"/>
          <w:szCs w:val="24"/>
        </w:rPr>
        <w:t xml:space="preserve">та/або генетик, </w:t>
      </w:r>
      <w:r w:rsidRPr="00654913">
        <w:rPr>
          <w:rFonts w:ascii="Times New Roman" w:hAnsi="Times New Roman"/>
          <w:color w:val="000000"/>
          <w:sz w:val="24"/>
          <w:szCs w:val="24"/>
        </w:rPr>
        <w:t xml:space="preserve">та/або бактеріолог, та/або біохімік, та/або вірусолог, та/або лікар-мікробіолог-вірусолог, </w:t>
      </w:r>
      <w:r w:rsidRPr="00654913">
        <w:rPr>
          <w:rFonts w:ascii="Times New Roman" w:hAnsi="Times New Roman"/>
          <w:sz w:val="24"/>
          <w:szCs w:val="24"/>
        </w:rPr>
        <w:t>та/або лікар-бактеріолог,</w:t>
      </w:r>
      <w:r w:rsidRPr="00654913">
        <w:rPr>
          <w:rFonts w:ascii="Times New Roman" w:hAnsi="Times New Roman"/>
          <w:i/>
          <w:sz w:val="24"/>
          <w:szCs w:val="24"/>
        </w:rPr>
        <w:t xml:space="preserve"> </w:t>
      </w:r>
      <w:r w:rsidRPr="00654913">
        <w:rPr>
          <w:rFonts w:ascii="Times New Roman" w:hAnsi="Times New Roman"/>
          <w:sz w:val="24"/>
          <w:szCs w:val="24"/>
        </w:rPr>
        <w:t>та/або цитоморфолог, та/або лікар-паразитолог</w:t>
      </w:r>
      <w:r w:rsidRPr="00654913">
        <w:rPr>
          <w:rFonts w:ascii="Roboto" w:eastAsia="Roboto" w:hAnsi="Roboto" w:cs="Roboto"/>
          <w:i/>
          <w:color w:val="444746"/>
          <w:sz w:val="21"/>
          <w:szCs w:val="21"/>
        </w:rPr>
        <w:t xml:space="preserve"> </w:t>
      </w:r>
      <w:r w:rsidRPr="00654913">
        <w:rPr>
          <w:rFonts w:ascii="Times New Roman" w:hAnsi="Times New Roman"/>
          <w:i/>
          <w:color w:val="000000"/>
          <w:sz w:val="24"/>
          <w:szCs w:val="24"/>
        </w:rPr>
        <w:t xml:space="preserve">- </w:t>
      </w:r>
      <w:r w:rsidRPr="00654913">
        <w:rPr>
          <w:rFonts w:ascii="Times New Roman" w:hAnsi="Times New Roman"/>
          <w:color w:val="000000"/>
          <w:sz w:val="24"/>
          <w:szCs w:val="24"/>
        </w:rPr>
        <w:t>щонайменше 1 особа із зазначеного переліку, яка працює за основним місцем роботи в цьому ЗОЗ.</w:t>
      </w:r>
    </w:p>
    <w:p w:rsidR="00ED2F91" w:rsidRPr="00654913"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sidRPr="00654913">
        <w:rPr>
          <w:rFonts w:ascii="Times New Roman" w:hAnsi="Times New Roman"/>
          <w:color w:val="000000"/>
          <w:sz w:val="24"/>
          <w:szCs w:val="24"/>
        </w:rPr>
        <w:t>b.</w:t>
      </w:r>
      <w:r w:rsidRPr="00654913">
        <w:rPr>
          <w:rFonts w:ascii="Times New Roman" w:hAnsi="Times New Roman"/>
          <w:color w:val="000000"/>
          <w:sz w:val="14"/>
          <w:szCs w:val="14"/>
        </w:rPr>
        <w:t xml:space="preserve">    </w:t>
      </w:r>
      <w:r w:rsidRPr="00654913">
        <w:rPr>
          <w:rFonts w:ascii="Times New Roman" w:hAnsi="Times New Roman"/>
          <w:color w:val="000000"/>
          <w:sz w:val="24"/>
          <w:szCs w:val="24"/>
        </w:rPr>
        <w:t xml:space="preserve">Лаборант з бактеріології та/або лаборант (медицина), та/або фельдшер-лаборант, та/або лаборант клініко-діагностичної лабораторії </w:t>
      </w:r>
      <w:r w:rsidRPr="00654913">
        <w:rPr>
          <w:rFonts w:ascii="Times New Roman" w:hAnsi="Times New Roman"/>
          <w:i/>
          <w:color w:val="000000"/>
          <w:sz w:val="24"/>
          <w:szCs w:val="24"/>
        </w:rPr>
        <w:t xml:space="preserve">- </w:t>
      </w:r>
      <w:r w:rsidRPr="00654913">
        <w:rPr>
          <w:rFonts w:ascii="Times New Roman" w:hAnsi="Times New Roman"/>
          <w:color w:val="000000"/>
          <w:sz w:val="24"/>
          <w:szCs w:val="24"/>
        </w:rPr>
        <w:t>щонайменше 2 особи із зазначеного переліку, які працюють або за основним місцем роботи в цьому ЗОЗ, або за сумісництвом.</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3. У ЗОЗ (сервіс «Інструментальна діагностика»):</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sz w:val="24"/>
          <w:szCs w:val="24"/>
        </w:rPr>
        <w:t>Лікар з радіаційної онкології</w:t>
      </w:r>
      <w:r>
        <w:rPr>
          <w:rFonts w:ascii="Times New Roman" w:hAnsi="Times New Roman"/>
          <w:color w:val="000000"/>
          <w:sz w:val="24"/>
          <w:szCs w:val="24"/>
        </w:rPr>
        <w:t xml:space="preserve"> та/або лікар-психофізіолог, та/або лікар-радіолог, та/або лікар з функціональної діагностики, та/або лікар-кардіолог-електрофізіолог, та/або лікар-трансфузіолог, та/або лікар з ультразвукової діагностики, та/або лікар-рентгенолог, та/або </w:t>
      </w:r>
      <w:r>
        <w:rPr>
          <w:rFonts w:ascii="Times New Roman" w:hAnsi="Times New Roman"/>
          <w:sz w:val="24"/>
          <w:szCs w:val="24"/>
        </w:rPr>
        <w:t>лікар з ядерної медицини</w:t>
      </w:r>
      <w:r>
        <w:rPr>
          <w:rFonts w:ascii="Times New Roman" w:hAnsi="Times New Roman"/>
          <w:color w:val="000000"/>
          <w:sz w:val="24"/>
          <w:szCs w:val="24"/>
        </w:rPr>
        <w:t xml:space="preserve"> </w:t>
      </w:r>
      <w:r>
        <w:rPr>
          <w:rFonts w:ascii="Times New Roman" w:hAnsi="Times New Roman"/>
          <w:i/>
          <w:color w:val="000000"/>
          <w:sz w:val="24"/>
          <w:szCs w:val="24"/>
        </w:rPr>
        <w:t xml:space="preserve">- </w:t>
      </w:r>
      <w:r>
        <w:rPr>
          <w:rFonts w:ascii="Times New Roman" w:hAnsi="Times New Roman"/>
          <w:color w:val="000000"/>
          <w:sz w:val="24"/>
          <w:szCs w:val="24"/>
        </w:rPr>
        <w:t>щонайменше 2 особи із зазначеного переліку, 1 з яких за основним місцем роботи в цьому ЗОЗ, та 1 або за основним місцем роботи в цьому ЗОЗ, або сумісництвом.</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 xml:space="preserve">Рентгенолаборант та/або сестра медична з функціональної діагностики, та/або сестра медична (брат медичний) </w:t>
      </w:r>
      <w:r>
        <w:rPr>
          <w:rFonts w:ascii="Times New Roman" w:hAnsi="Times New Roman"/>
          <w:i/>
          <w:color w:val="000000"/>
          <w:sz w:val="24"/>
          <w:szCs w:val="24"/>
        </w:rPr>
        <w:t xml:space="preserve">- </w:t>
      </w:r>
      <w:r>
        <w:rPr>
          <w:rFonts w:ascii="Times New Roman" w:hAnsi="Times New Roman"/>
          <w:color w:val="000000"/>
          <w:sz w:val="24"/>
          <w:szCs w:val="24"/>
        </w:rPr>
        <w:t>щонайменше 2 особи із зазначеного переліку, які працюють або за основним місцем роботи в цьому ЗОЗ</w:t>
      </w:r>
      <w:r>
        <w:rPr>
          <w:rFonts w:ascii="Times New Roman" w:hAnsi="Times New Roman"/>
          <w:sz w:val="24"/>
          <w:szCs w:val="24"/>
        </w:rPr>
        <w:t xml:space="preserve">, </w:t>
      </w:r>
      <w:r>
        <w:rPr>
          <w:rFonts w:ascii="Times New Roman" w:hAnsi="Times New Roman"/>
          <w:color w:val="000000"/>
          <w:sz w:val="24"/>
          <w:szCs w:val="24"/>
        </w:rPr>
        <w:t>або за сумісництвом.</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Додаткові вимоги до спеціалістів та кількості фахівців, які працюють на посадах:</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1. У ЗОЗ:</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 xml:space="preserve">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лікар-кардіоревматолог дитячий, та/або лікар-комбустіолог, та/або лікар-нарколог,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w:t>
      </w:r>
      <w:r>
        <w:rPr>
          <w:rFonts w:ascii="Times New Roman" w:hAnsi="Times New Roman"/>
          <w:sz w:val="24"/>
          <w:szCs w:val="24"/>
        </w:rPr>
        <w:t>та/або лікар-гематолог-онколог дитячий,</w:t>
      </w:r>
      <w:r>
        <w:rPr>
          <w:rFonts w:ascii="Times New Roman" w:hAnsi="Times New Roman"/>
          <w:color w:val="000000"/>
          <w:sz w:val="24"/>
          <w:szCs w:val="24"/>
        </w:rPr>
        <w:t xml:space="preserve">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лікар-психіатр, та/або лікар-психіатр дитячий, та/або лікар-психіатр підлітковий, та/або лікар-пульмонолог, та/або лікар-пульмонолог дитячий, та/або лікар-ревматолог, та/або лікар-ревматолог дитячий, та/або лікар-терапевт, та/або лікар-терапевт підлітковий, та/або лікар-токсиколог, та/або лікар з ультразвукової діагностики, та/або лікар-уролог, та/або лікар-уролог дитячий, та/або лікар-фізіотерапевт, та/або лікар з функціональної діагностики, та/або лікар-фтизіатр, та/або лікар-</w:t>
      </w:r>
      <w:r>
        <w:rPr>
          <w:rFonts w:ascii="Times New Roman" w:hAnsi="Times New Roman"/>
          <w:color w:val="000000"/>
          <w:sz w:val="24"/>
          <w:szCs w:val="24"/>
        </w:rPr>
        <w:lastRenderedPageBreak/>
        <w:t>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лікар-хірург щелепно-лицевий, та/або лікар з медицини невідкладних станів – щонайменше 4 особи додатково до основного переліку, які працюють за основним місцем роботи в цьому ЗОЗ.</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b. Сестра медична (брат медичний) та/або фельдшер з медицини невідкладних станів – щонайменше 4 особи додатково до основного переліку, які працюють за основним місцем роботи в цьому ЗОЗ.</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Вимоги до переліку обладнання:</w:t>
      </w:r>
    </w:p>
    <w:p w:rsidR="00ED2F91" w:rsidRDefault="00ED2F91" w:rsidP="00ED2F91">
      <w:pPr>
        <w:pStyle w:val="ab"/>
        <w:numPr>
          <w:ilvl w:val="3"/>
          <w:numId w:val="3"/>
        </w:numPr>
        <w:pBdr>
          <w:top w:val="nil"/>
          <w:left w:val="nil"/>
          <w:bottom w:val="nil"/>
          <w:right w:val="nil"/>
          <w:between w:val="nil"/>
        </w:pBdr>
        <w:shd w:val="clear" w:color="auto" w:fill="FFFFFF"/>
        <w:spacing w:before="240"/>
        <w:ind w:left="0" w:firstLine="567"/>
        <w:jc w:val="both"/>
        <w:rPr>
          <w:rFonts w:ascii="Times New Roman" w:hAnsi="Times New Roman"/>
          <w:color w:val="000000"/>
        </w:rPr>
      </w:pPr>
      <w:r w:rsidRPr="00654913">
        <w:rPr>
          <w:rFonts w:ascii="Times New Roman" w:hAnsi="Times New Roman"/>
          <w:color w:val="000000"/>
        </w:rPr>
        <w:t>У ЗОЗ (сервіс «Консультування та лікування»):</w:t>
      </w:r>
    </w:p>
    <w:p w:rsidR="00ED2F91" w:rsidRPr="00654913" w:rsidRDefault="00ED2F91" w:rsidP="00ED2F91">
      <w:pPr>
        <w:pStyle w:val="ab"/>
        <w:pBdr>
          <w:top w:val="nil"/>
          <w:left w:val="nil"/>
          <w:bottom w:val="nil"/>
          <w:right w:val="nil"/>
          <w:between w:val="nil"/>
        </w:pBdr>
        <w:shd w:val="clear" w:color="auto" w:fill="FFFFFF"/>
        <w:spacing w:before="240"/>
        <w:ind w:left="567"/>
        <w:jc w:val="both"/>
        <w:rPr>
          <w:rFonts w:ascii="Times New Roman" w:hAnsi="Times New Roman"/>
          <w:color w:val="000000"/>
        </w:rPr>
      </w:pP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електрокардіограф багатоканальний;</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УЗД апарат;</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портативний дефібрилятор з функцією синхронізації;</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ваги медичні з ростоміром (або ваги для новонароджених і дітей раннього віку);</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аптечка для надання невідкладної допомоги;</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мішок ручної вентиляції легенів;</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глюкометр;</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термометр безконтактний;</w:t>
      </w:r>
    </w:p>
    <w:p w:rsidR="00ED2F91" w:rsidRPr="00654913"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пульсоксиметр;</w:t>
      </w:r>
    </w:p>
    <w:p w:rsidR="00ED2F91" w:rsidRDefault="00ED2F91" w:rsidP="00ED2F9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тонометр та/або тонометр педіатричний з манжетками для дітей різного віку.</w:t>
      </w:r>
    </w:p>
    <w:p w:rsidR="00ED2F91" w:rsidRPr="00654913" w:rsidRDefault="00ED2F91" w:rsidP="00ED2F91">
      <w:pPr>
        <w:pStyle w:val="ab"/>
        <w:pBdr>
          <w:top w:val="nil"/>
          <w:left w:val="nil"/>
          <w:bottom w:val="nil"/>
          <w:right w:val="nil"/>
          <w:between w:val="nil"/>
        </w:pBdr>
        <w:shd w:val="clear" w:color="auto" w:fill="FFFFFF"/>
        <w:spacing w:before="240"/>
        <w:ind w:left="567"/>
        <w:jc w:val="both"/>
        <w:rPr>
          <w:rFonts w:ascii="Times" w:eastAsia="Times" w:hAnsi="Times" w:cs="Times"/>
          <w:color w:val="000000"/>
        </w:rPr>
      </w:pPr>
    </w:p>
    <w:p w:rsidR="00ED2F91" w:rsidRPr="00654913" w:rsidRDefault="00ED2F91" w:rsidP="00ED2F91">
      <w:pPr>
        <w:pStyle w:val="ab"/>
        <w:numPr>
          <w:ilvl w:val="0"/>
          <w:numId w:val="3"/>
        </w:numPr>
        <w:pBdr>
          <w:top w:val="nil"/>
          <w:left w:val="nil"/>
          <w:bottom w:val="nil"/>
          <w:right w:val="nil"/>
          <w:between w:val="nil"/>
        </w:pBdr>
        <w:shd w:val="clear" w:color="auto" w:fill="FFFFFF"/>
        <w:spacing w:before="240"/>
        <w:ind w:left="0" w:firstLine="567"/>
        <w:jc w:val="both"/>
        <w:rPr>
          <w:rFonts w:ascii="Times New Roman" w:hAnsi="Times New Roman"/>
          <w:color w:val="000000"/>
        </w:rPr>
      </w:pPr>
      <w:r w:rsidRPr="00654913">
        <w:rPr>
          <w:rFonts w:ascii="Times New Roman" w:hAnsi="Times New Roman"/>
          <w:color w:val="000000"/>
        </w:rPr>
        <w:t>У ЗОЗ (сервіс «Інструментальна діагностика»):</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рентгенівської комп'ютерної томографії та/або система магнітно-резонансної томографії у ЗОЗ (за умови виконання даного класу послуг);</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рентгенівська діагностична (за умови виконання даного класу послуг).</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lang w:val="uk-UA"/>
        </w:rPr>
      </w:pPr>
      <w:r>
        <w:rPr>
          <w:rFonts w:ascii="Times New Roman" w:hAnsi="Times New Roman"/>
          <w:color w:val="000000"/>
          <w:sz w:val="24"/>
          <w:szCs w:val="24"/>
        </w:rPr>
        <w:t>3. У ЗОЗ за умови надання послуг за сервісом «Процедури» для класу «Амбулаторна хірургія», «Анестезіологічне забезпечення», «Інтервенційна візуалізація»:</w:t>
      </w:r>
    </w:p>
    <w:p w:rsidR="00ED2F91" w:rsidRPr="00495841" w:rsidRDefault="00ED2F91" w:rsidP="00ED2F91">
      <w:pPr>
        <w:pBdr>
          <w:top w:val="nil"/>
          <w:left w:val="nil"/>
          <w:bottom w:val="nil"/>
          <w:right w:val="nil"/>
          <w:between w:val="nil"/>
        </w:pBdr>
        <w:shd w:val="clear" w:color="auto" w:fill="FFFFFF"/>
        <w:spacing w:line="240" w:lineRule="auto"/>
        <w:ind w:firstLine="567"/>
        <w:jc w:val="both"/>
        <w:rPr>
          <w:rFonts w:ascii="Times New Roman" w:hAnsi="Times New Roman"/>
          <w:color w:val="000000"/>
          <w:sz w:val="24"/>
          <w:szCs w:val="24"/>
          <w:lang w:val="uk-UA"/>
        </w:rPr>
      </w:pP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 що здатний підтримувати швидкість потоку кисню щонайменше 10 л/хв;</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система моніторингу фізіологічних показників одного пацієнта (неінвазивний АТ, ЧСС, ЕКГ, SpO2, t);</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highlight w:val="white"/>
        </w:rPr>
      </w:pPr>
      <w:r w:rsidRPr="00495841">
        <w:rPr>
          <w:rFonts w:ascii="Times New Roman" w:hAnsi="Times New Roman"/>
          <w:color w:val="000000"/>
          <w:highlight w:val="white"/>
        </w:rPr>
        <w:t>наркозно/дихальний апарат за умови класу анестезіологічне забезпечення;</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портативний дефібрилятор з функцією синхронізації;</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ларингоскоп з набором клинків;</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highlight w:val="white"/>
        </w:rPr>
      </w:pPr>
      <w:r w:rsidRPr="00495841">
        <w:rPr>
          <w:rFonts w:ascii="Times New Roman" w:hAnsi="Times New Roman"/>
          <w:color w:val="000000"/>
          <w:highlight w:val="white"/>
        </w:rPr>
        <w:t>автоматичний дозатор лікувальних речовин;</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аспіратор (відсмоктувач);</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мішок ручної вентиляції легенів;</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тонометр;</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пульсоксиметр;</w:t>
      </w:r>
    </w:p>
    <w:p w:rsidR="00ED2F91" w:rsidRPr="00495841" w:rsidRDefault="00ED2F91" w:rsidP="00ED2F9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аптечка для надання невідкладної допомоги.</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lastRenderedPageBreak/>
        <w:t>Додаткові вимоги до переліку обладнання:</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1. У ЗОЗ:</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рентгенівська діагностична;</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рентгенівської комп'ютерної томографії або система магнітно-резонансної томографії у ЗОЗ або на умовах оренди, або дог</w:t>
      </w:r>
      <w:r>
        <w:rPr>
          <w:rFonts w:ascii="Times New Roman" w:hAnsi="Times New Roman"/>
          <w:sz w:val="24"/>
          <w:szCs w:val="24"/>
        </w:rPr>
        <w:t xml:space="preserve">овору </w:t>
      </w:r>
      <w:r>
        <w:rPr>
          <w:rFonts w:ascii="Times New Roman" w:hAnsi="Times New Roman"/>
          <w:color w:val="000000"/>
          <w:sz w:val="24"/>
          <w:szCs w:val="24"/>
        </w:rPr>
        <w:t>підряду,або на інших умовах  користування;</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14"/>
          <w:szCs w:val="14"/>
        </w:rPr>
        <w:t xml:space="preserve"> </w:t>
      </w:r>
      <w:r>
        <w:rPr>
          <w:rFonts w:ascii="Times New Roman" w:hAnsi="Times New Roman"/>
          <w:color w:val="000000"/>
          <w:sz w:val="24"/>
          <w:szCs w:val="24"/>
        </w:rPr>
        <w:t>гнучкий відеогастроскоп та/або гнучкий відеоколоноскоп, та/або гнучкий відеобронхоскоп, та/або відеоцистоскоп, та/або відеогістероскоп.</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 xml:space="preserve"> 2. За місцем надання медичних послуг:</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color w:val="000000"/>
          <w:sz w:val="24"/>
          <w:szCs w:val="24"/>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14"/>
          <w:szCs w:val="14"/>
        </w:rPr>
        <w:t xml:space="preserve">  </w:t>
      </w:r>
      <w:r>
        <w:rPr>
          <w:rFonts w:ascii="Times New Roman" w:hAnsi="Times New Roman"/>
          <w:color w:val="000000"/>
          <w:sz w:val="24"/>
          <w:szCs w:val="24"/>
        </w:rPr>
        <w:t xml:space="preserve">неінвазивна система вентиляції легенів (BIPAP/CPAP) та комплект масок для CPAP-терапії;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d.</w:t>
      </w:r>
      <w:r>
        <w:rPr>
          <w:rFonts w:ascii="Times New Roman" w:hAnsi="Times New Roman"/>
          <w:color w:val="000000"/>
          <w:sz w:val="14"/>
          <w:szCs w:val="14"/>
        </w:rPr>
        <w:t xml:space="preserve">  </w:t>
      </w:r>
      <w:r>
        <w:rPr>
          <w:rFonts w:ascii="Times New Roman" w:hAnsi="Times New Roman"/>
          <w:color w:val="000000"/>
          <w:sz w:val="24"/>
          <w:szCs w:val="24"/>
        </w:rPr>
        <w:t>система ультразвукової візуалізації портативна;</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e.</w:t>
      </w:r>
      <w:r>
        <w:rPr>
          <w:rFonts w:ascii="Times New Roman" w:hAnsi="Times New Roman"/>
          <w:color w:val="000000"/>
          <w:sz w:val="14"/>
          <w:szCs w:val="14"/>
        </w:rPr>
        <w:t xml:space="preserve">  </w:t>
      </w:r>
      <w:r>
        <w:rPr>
          <w:rFonts w:ascii="Times New Roman" w:hAnsi="Times New Roman"/>
          <w:color w:val="000000"/>
          <w:sz w:val="24"/>
          <w:szCs w:val="24"/>
        </w:rPr>
        <w:t>глюкометр;</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f.</w:t>
      </w:r>
      <w:r>
        <w:rPr>
          <w:rFonts w:ascii="Times New Roman" w:hAnsi="Times New Roman"/>
          <w:color w:val="000000"/>
          <w:sz w:val="14"/>
          <w:szCs w:val="14"/>
        </w:rPr>
        <w:t xml:space="preserve">  </w:t>
      </w:r>
      <w:r>
        <w:rPr>
          <w:rFonts w:ascii="Times New Roman" w:hAnsi="Times New Roman"/>
          <w:color w:val="000000"/>
          <w:sz w:val="24"/>
          <w:szCs w:val="24"/>
        </w:rPr>
        <w:t xml:space="preserve">електрокардіограф багатоканальний;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g.</w:t>
      </w:r>
      <w:r>
        <w:rPr>
          <w:rFonts w:ascii="Times New Roman" w:hAnsi="Times New Roman"/>
          <w:color w:val="000000"/>
          <w:sz w:val="14"/>
          <w:szCs w:val="14"/>
        </w:rPr>
        <w:t xml:space="preserve">  </w:t>
      </w:r>
      <w:r>
        <w:rPr>
          <w:rFonts w:ascii="Times New Roman" w:hAnsi="Times New Roman"/>
          <w:color w:val="000000"/>
          <w:sz w:val="24"/>
          <w:szCs w:val="24"/>
        </w:rPr>
        <w:t xml:space="preserve">ларингоскоп з набором клинків;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h.</w:t>
      </w:r>
      <w:r>
        <w:rPr>
          <w:rFonts w:ascii="Times New Roman" w:hAnsi="Times New Roman"/>
          <w:color w:val="000000"/>
          <w:sz w:val="14"/>
          <w:szCs w:val="14"/>
        </w:rPr>
        <w:t xml:space="preserve">  </w:t>
      </w:r>
      <w:r>
        <w:rPr>
          <w:rFonts w:ascii="Times New Roman" w:hAnsi="Times New Roman"/>
          <w:color w:val="000000"/>
          <w:sz w:val="24"/>
          <w:szCs w:val="24"/>
        </w:rPr>
        <w:t xml:space="preserve">набір (укладка) для реанімації;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i.</w:t>
      </w:r>
      <w:r>
        <w:rPr>
          <w:rFonts w:ascii="Times New Roman" w:hAnsi="Times New Roman"/>
          <w:color w:val="000000"/>
          <w:sz w:val="14"/>
          <w:szCs w:val="14"/>
        </w:rPr>
        <w:t xml:space="preserve">  </w:t>
      </w:r>
      <w:r>
        <w:rPr>
          <w:rFonts w:ascii="Times New Roman" w:hAnsi="Times New Roman"/>
          <w:color w:val="000000"/>
          <w:sz w:val="24"/>
          <w:szCs w:val="24"/>
        </w:rPr>
        <w:t xml:space="preserve">портативний дефібрилятор з функцією синхронізації;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j.</w:t>
      </w:r>
      <w:r>
        <w:rPr>
          <w:rFonts w:ascii="Times New Roman" w:hAnsi="Times New Roman"/>
          <w:color w:val="000000"/>
          <w:sz w:val="14"/>
          <w:szCs w:val="14"/>
        </w:rPr>
        <w:t xml:space="preserve"> </w:t>
      </w:r>
      <w:r>
        <w:rPr>
          <w:rFonts w:ascii="Times New Roman" w:hAnsi="Times New Roman"/>
          <w:color w:val="000000"/>
          <w:sz w:val="24"/>
          <w:szCs w:val="24"/>
        </w:rPr>
        <w:t xml:space="preserve">система моніторингу фізіологічних показників одного пацієнта (неінвазивний АТ, ЧСС, ЕКГ, SpO2, t); </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k.</w:t>
      </w:r>
      <w:r>
        <w:rPr>
          <w:rFonts w:ascii="Times New Roman" w:hAnsi="Times New Roman"/>
          <w:color w:val="000000"/>
          <w:sz w:val="14"/>
          <w:szCs w:val="14"/>
        </w:rPr>
        <w:t xml:space="preserve">   </w:t>
      </w:r>
      <w:r>
        <w:rPr>
          <w:rFonts w:ascii="Times New Roman" w:hAnsi="Times New Roman"/>
          <w:color w:val="000000"/>
          <w:sz w:val="24"/>
          <w:szCs w:val="24"/>
        </w:rPr>
        <w:t>мішок ручної вентиляції легенів;</w:t>
      </w:r>
    </w:p>
    <w:p w:rsidR="00ED2F91" w:rsidRDefault="00ED2F91" w:rsidP="00ED2F9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l.</w:t>
      </w:r>
      <w:r>
        <w:rPr>
          <w:rFonts w:ascii="Times New Roman" w:hAnsi="Times New Roman"/>
          <w:color w:val="000000"/>
          <w:sz w:val="14"/>
          <w:szCs w:val="14"/>
        </w:rPr>
        <w:t xml:space="preserve">   </w:t>
      </w:r>
      <w:r>
        <w:rPr>
          <w:rFonts w:ascii="Times New Roman" w:hAnsi="Times New Roman"/>
          <w:color w:val="000000"/>
          <w:sz w:val="24"/>
          <w:szCs w:val="24"/>
        </w:rPr>
        <w:t>аспіратор.</w:t>
      </w:r>
    </w:p>
    <w:p w:rsidR="00ED2F91" w:rsidRDefault="00ED2F91" w:rsidP="00ED2F9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bookmarkStart w:id="1" w:name="_heading=h.tg5875svb6h1" w:colFirst="0" w:colLast="0"/>
      <w:bookmarkEnd w:id="1"/>
      <w:r>
        <w:rPr>
          <w:rFonts w:ascii="Times New Roman" w:hAnsi="Times New Roman"/>
          <w:i/>
          <w:color w:val="000000"/>
          <w:sz w:val="24"/>
          <w:szCs w:val="24"/>
        </w:rPr>
        <w:t>Інші вимоги:</w:t>
      </w:r>
    </w:p>
    <w:p w:rsidR="00ED2F91" w:rsidRPr="00495841" w:rsidRDefault="00ED2F91" w:rsidP="00ED2F91">
      <w:pPr>
        <w:numPr>
          <w:ilvl w:val="0"/>
          <w:numId w:val="4"/>
        </w:numPr>
        <w:pBdr>
          <w:top w:val="nil"/>
          <w:left w:val="nil"/>
          <w:bottom w:val="nil"/>
          <w:right w:val="nil"/>
          <w:between w:val="nil"/>
        </w:pBdr>
        <w:shd w:val="clear" w:color="auto" w:fill="FFFFFF"/>
        <w:spacing w:line="240" w:lineRule="auto"/>
        <w:ind w:left="0" w:firstLine="567"/>
        <w:rPr>
          <w:rFonts w:ascii="Times New Roman" w:hAnsi="Times New Roman"/>
          <w:color w:val="000000"/>
          <w:sz w:val="24"/>
          <w:szCs w:val="24"/>
        </w:rPr>
      </w:pPr>
      <w:r>
        <w:rPr>
          <w:rFonts w:ascii="Times New Roman" w:hAnsi="Times New Roman"/>
          <w:color w:val="000000"/>
          <w:sz w:val="24"/>
          <w:szCs w:val="24"/>
        </w:rPr>
        <w:t>Наявність ліцензії на провадження господарської діяльності з медичної практики.</w:t>
      </w:r>
    </w:p>
    <w:p w:rsidR="00ED2F91" w:rsidRDefault="00ED2F91" w:rsidP="00ED2F91">
      <w:pPr>
        <w:pBdr>
          <w:top w:val="nil"/>
          <w:left w:val="nil"/>
          <w:bottom w:val="nil"/>
          <w:right w:val="nil"/>
          <w:between w:val="nil"/>
        </w:pBdr>
        <w:spacing w:before="480" w:after="120"/>
        <w:jc w:val="center"/>
        <w:rPr>
          <w:rFonts w:ascii="Times New Roman" w:hAnsi="Times New Roman"/>
          <w:b/>
          <w:color w:val="000000"/>
          <w:sz w:val="24"/>
          <w:szCs w:val="24"/>
        </w:rPr>
      </w:pPr>
      <w:bookmarkStart w:id="2" w:name="_heading=h.v8lpwptzsrx0" w:colFirst="0" w:colLast="0"/>
      <w:bookmarkEnd w:id="2"/>
      <w:r>
        <w:rPr>
          <w:rFonts w:ascii="Times New Roman" w:hAnsi="Times New Roman"/>
          <w:b/>
          <w:color w:val="000000"/>
          <w:sz w:val="24"/>
          <w:szCs w:val="24"/>
        </w:rPr>
        <w:t>Додаток 1. Перелік лабораторних досліджень, включених до  класів сервісу «Лабораторна діагностика»</w:t>
      </w:r>
    </w:p>
    <w:p w:rsidR="00ED2F91" w:rsidRPr="00BE0C42" w:rsidRDefault="00ED2F91" w:rsidP="00ED2F91">
      <w:pPr>
        <w:pStyle w:val="ab"/>
        <w:numPr>
          <w:ilvl w:val="3"/>
          <w:numId w:val="4"/>
        </w:numPr>
        <w:shd w:val="clear" w:color="auto" w:fill="FFFFFF"/>
        <w:ind w:left="0" w:firstLine="567"/>
        <w:jc w:val="both"/>
        <w:rPr>
          <w:rFonts w:ascii="Times New Roman" w:hAnsi="Times New Roman"/>
        </w:rPr>
      </w:pPr>
      <w:r w:rsidRPr="00BE0C42">
        <w:rPr>
          <w:rFonts w:ascii="Times New Roman" w:hAnsi="Times New Roman"/>
          <w:b/>
          <w:i/>
        </w:rPr>
        <w:t xml:space="preserve">Клас «Гематологія» </w:t>
      </w:r>
      <w:r w:rsidRPr="00BE0C42">
        <w:rPr>
          <w:rFonts w:ascii="Times New Roman" w:hAnsi="Times New Roman"/>
          <w:b/>
        </w:rPr>
        <w:t>- проведення гематологічних досліджень (гемоглобін та його сполуки, клітини крові, кістковий мозок):</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загальний аналіз крові, ретикулоцити (визначення кількості гемоглобіну в ретикулоцитах, підрахунок відносної кількості фракцій ретикулоцитів за ступенем зрілості); розрахунок еритроцитарних індексів (середнього об'єму еритроцитів (MCV), середньої концентрації гемоглобіну в еритроцитах (MCHС), вмісту гемоглобіну в еритроциті (МСН), ширини розподілу еритроцитів за об’ємом (RDW), розподіл еритроцитів за об’ємом (крива Прайс-Джонса), тромбоцити та розрахунок індексів (MPV, PCT, PDW), морфологічна оцінка тромбоцитів, еритроцитів, визначення абсолютної та відносної кількості лімфоцитів, моноцитів, нейтрофілів, еозинофілів, базофілів;</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гемолізу (визначення осмотичної резистентності еритроцитів, глюкоза-6-фосфат дегідрогенази гемолізаті еритроцитів, піруваткінази в сироватці крові (для дітей віком до 18 років), в гемолізаті еритроцитів);</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lastRenderedPageBreak/>
        <w:t>визначення групи крові - ABO та Rh (антиген D);</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імуногематологічні дослідження (антигенна система еритроцитів, групування крові - резус-фенотипи, система антигенів Kell, система Даффи);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антитіла до Rh та інших груп крові у сироватці крові (включаючи ідентифікацію та кількісне визначення  виявлених антитіл);</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аутоантитіл до еритроцитів в цільній крові;</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неповних антиеритроцитарних антитіл класу IgG, фіксованих на еритроцитах, в цільній крові (пряма проба Кумбса), скринінг неповних антиеритроцитарних антитіл класу IgG в цільній крові (непряма проба Кумбса);</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дериватів гемоглобіну (метгемоглобіну, оксигемоглобіну, дезоксигемоглобіну);</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коагуляційний гемостаз (час згортання нестабілізованої крові, протромбіновий час, тромбіновий час, активований частковий (парціальний) тромбопластиновий час (АЧТЧ, АПТЧ), фібриноген, міжнародне нормалізоване відношення (МНВ), аутокоагуляційний тест в плазмі крові); продуктів деградації фібрину (Д-дімер);</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міцності згустку в цільній крові та оцінка його в′язко-еластичних властивостей методом тромбоеластометрії;</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факторів ІІ, V, VII, VIII,IX, X, XI (для дітей віком до 18 років)</w:t>
      </w:r>
      <w:r>
        <w:rPr>
          <w:rFonts w:ascii="Times New Roman" w:hAnsi="Times New Roman"/>
          <w:sz w:val="16"/>
          <w:szCs w:val="16"/>
        </w:rPr>
        <w:t xml:space="preserve">; </w:t>
      </w:r>
      <w:r>
        <w:rPr>
          <w:rFonts w:ascii="Times New Roman" w:hAnsi="Times New Roman"/>
          <w:sz w:val="24"/>
          <w:szCs w:val="24"/>
        </w:rPr>
        <w:t xml:space="preserve"> </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циркулюючих антикоагулянтів (антитромбіну ІІІ, активності протеїну С, вільного протеїну S, антикоагулянтів вовчакового типу (скринінговий, підтверджуючий тест) в плазмі крові, активність альфа-2-антиплазміну в плазмі крові;</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плазмінової (фібринолітичної) системи: визначення активності плазміногену, розчинних фібрин-мономерних комплексів;</w:t>
      </w:r>
    </w:p>
    <w:p w:rsidR="00ED2F91" w:rsidRDefault="00ED2F91" w:rsidP="00ED2F91">
      <w:pPr>
        <w:shd w:val="clear" w:color="auto" w:fill="FFFFFF"/>
        <w:spacing w:after="240"/>
        <w:ind w:firstLine="567"/>
        <w:jc w:val="both"/>
        <w:rPr>
          <w:rFonts w:ascii="Times New Roman" w:hAnsi="Times New Roman"/>
          <w:sz w:val="24"/>
          <w:szCs w:val="24"/>
        </w:rPr>
      </w:pPr>
      <w:r>
        <w:rPr>
          <w:rFonts w:ascii="Times New Roman" w:hAnsi="Times New Roman"/>
          <w:sz w:val="24"/>
          <w:szCs w:val="24"/>
        </w:rPr>
        <w:t>підрахунок кількості клітинних елементів кісткового мозку з їх морфологічною характеристикою та індексів кістковомозкового кровотворення.</w:t>
      </w:r>
    </w:p>
    <w:p w:rsidR="00ED2F91" w:rsidRDefault="00ED2F91" w:rsidP="00ED2F9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2. </w:t>
      </w:r>
      <w:r>
        <w:rPr>
          <w:rFonts w:ascii="Times New Roman" w:hAnsi="Times New Roman"/>
          <w:b/>
          <w:i/>
          <w:sz w:val="24"/>
          <w:szCs w:val="24"/>
        </w:rPr>
        <w:t>Клас «Біохімія»</w:t>
      </w:r>
      <w:r>
        <w:rPr>
          <w:rFonts w:ascii="Times New Roman" w:hAnsi="Times New Roman"/>
          <w:b/>
          <w:sz w:val="24"/>
          <w:szCs w:val="24"/>
        </w:rPr>
        <w:t xml:space="preserve"> - проведення біохімічних досліджень:</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 сироватці, плазмі, сечі або інших рідинах організму (крім амніотичної рідини): кислої фосфатази, аланінамінотрансферази, альбуміну, лужної фосфатази, амоній (аміак), амілази, аспартатамінотрансфераза, бікарбонат, білірубін (загальний), білірубін (будь-які фракції), кальцій (загальний або скоригований на альбумін), креатинкіназа, креатинін, гамма-глутамілтрансфераза, глобулін, глюкоза, лактатдегідрогеназа, ліпаза, магній, фосфат, калій, натрій, загальний білок, урати, сечовина, лактат, хлориди, сечова кислота;</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кліренсу по ендогенному креатиніну;</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вимірювання ізоферментів креатинкінази, тропоніну або міоглобіну в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іонізований кальцій;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ліпідний профіль: тригліцериди, загальний холестерин, ліпопротеїди низької щільності (ЛПНЩ), ліпопротеїди високої щільності (ЛПВЩ) в сироватці крові, розрахунок індексу атерогенності;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ліпіди  в клітинах крові та кісткового мозку;</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толерантність до глюкози, глікозильований гемоглобін, фруктозамін, HbA1c (глікований гемоглобін);</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індекс HOMA;</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глікоген в клітинах крові та кісткового мозку;</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активність неспецифічної естерази в клітинах крові та кісткового мозку(ANAE);</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активність α-нафтилацетатестерази та її чутливості до фториду натрію;</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бета-2-мікроглобулін — кількісне визначення в сироватці; </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осмолярність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кислотно лужний склад крові: гази крові (парціальний тиск кисню рО2, ступінь насичення гемоглобіну киснем та парціальний тиск вуглекислого газу рСО2), бікарбонат, концентрація загального двоокису вуглецю та рН, актуальний бікарбонат, величина буферних основ; величина надлишку/дефіциту буферних основ;</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BNP or NT‑proBN – для пацієнта з діагностованою легеневою артеріальною гіпертензією з метою спостереження за прогресуванням захворювання;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ферритин; залізо у сироватці крові, трансферін або залізозвязуюча здатність сироватки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церулоплазмін – кількісне визначення в сироватці, сечі або інших рідинах організму;</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С-реактивний білок, альфа-1-глікопротеїн, Альфа-1-антитрипсин – кількісне визначення в сироватці;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антистрептолізін-О в сироватці крові (напівкількісно, кількісно), ревматоїдний фактор в сироватці крові; </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антиген CA-15.3 (CA15.3), антиген CA-125 (CA125), антиген CA-19.9 (CA19.9), асоційований з раком сироватковий антиген (CASA), карциноембріональний антиген (CEA), хоріонічний гонадотропін людини ( HCG), нейрон-специфічна енолаза (NSE), тиреоглобулін, білок S-100 у сироватці крові чи іншій рідині організму; </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простатичний специфічний антиген (ПСА), простатичний специфічний антиген вільний (ПСА вільний);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вітаміни: А, B1, B2, B3, B6 або C – кількісне визначення у крові, сечі чи інших рідинах організму;</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 B12 у сироватці крові, кількісне визначення маркерів вітаміну B12 (транскобаламін або метилмалонова кислота) в сироватці крові, сечі;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фолієва кислота  в сироватці крові в еритроцитах;</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якісне та кількісне визначення наркотиків або інших речовин, що викликають зловживання, в крові, сечі чи інших рідинах організму; </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концентрації карбомазепіну, фенобарбіталу, вальпроєвої кислоти, ацетамінофену, циклоспорину, такролімусу, серолімусу, метотрексату; літію, амфетаміну, барбітурати, бензодіазепіни, канабіноїди, метамфетаміну, опіатів, фенциклідину в крові, сечі чи інших рідинах організму; </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гормони: тироксин (Т4 загальний, Т4 вільний), трийодтиронін (Т3 загальний, Т3 вільний), тиреоглобулін (ТГ), паратгормон (ПТГ), інсулін, кортизол (гідрокортизон), фолікулостимулюючий гормон (ФСГ), лютеїнізуючий гормон, пролактін, паратиреоїдний гормон, альдостерон, вазопресин (антидіуретичний гормон), естрадіол, прогестерон, 17-гідроксипрогестерон, тестостерон загальний, тестостерон вільний, дегідроепіандростерон-сульфат, С-пептид;</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гормонів і білків, що зв’язують гормони — кортизол, ФСГ, інсулін, ЛГ, естрадіол, прогестерон, пролактин;</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тиреотропний гормон (тиреотропін, ТТГ) в цільній крові, сироватці крові, плазмі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хлориди поту – визначення за допомогою іонофорезу;</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вільного бета-хоріонічного гонадотропіну людини (вільний бета-ХГЛ); протеїну А плазми, пов’язаний з вагітністю (PAPP A); некон'югованого естріолу (uE3); альфа-фетопротеїн (AFP);</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холінестерази в сироватці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С-термінального телопептиду колагену I типу, N-термінального пропептиду проколагену І типу (P1NP) в сироватці крові (для моніторингу пацієнтів із доведеною низькою </w:t>
      </w:r>
      <w:r w:rsidRPr="00495841">
        <w:rPr>
          <w:rFonts w:ascii="Times New Roman" w:hAnsi="Times New Roman"/>
          <w:sz w:val="24"/>
          <w:szCs w:val="24"/>
        </w:rPr>
        <w:lastRenderedPageBreak/>
        <w:t>мінеральною щільністю кісткової тканини, пацієнтів з метаболічною хворобою кісток або хворобою Педжета);</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25 гідроксивітамін D, 1,25 дигідроксивітаміну D у сироватці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дихальний тест із сечовиною, для підтвердження колонізації Helicobacter pylori; або моніторингу успішності ерадикації Helicobacter pylori;</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та ацилкарнітинів, сукценілацетону в сухих плямах крові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в крові та сечі методом високоефективної рідинної хроматографії;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птеринів та неоптеринів в сечі методом високоефективної рідинної хроматографії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органічних кислот методом газової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галактозо-1-фосфат уридидтрансферази (GALT)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визначення активності біотинідази в плазмі крові,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гомованілинової кислоти в спиномозковій рідині методом високоефективної рідинної хроматографії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5-гідроксиіндолоцтової кислоти в спиномозковій рідині методом високоефективної рідинної хроматографії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дуже довголанцюгових жирних кислот в сечі методом газової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вуглеводів в плазмі крові та сечі методом тонкошарової хроматографії;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порфіринового обміну (якісні проби);</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в сечі (якісні реакції);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білку в сечі за реакцією з сульфосаліциловою кислотою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амінокислот в сечі за реакцією з нінгідріновим реактивом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цистину та гомоцистину в сечі за реакцією з ацетонциангідріном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проліна в сечі за реакцією з нінгідріновим реактивом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гомогентизинової кислоти в сечі за реакцією з гідроксидом натрію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Обермеера на індикан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Сулковича на кальцій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Селіванова на фруктозу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кетокислот в сечі за реакцією з 2,4-ДНФГ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лактози та галактози в сечі за реакцією з аміаком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Фелінга на фенілпіровіноградну кислоту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міді в сечі за реакцією з о-толуідіном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сульфітів у сечі (якісна реакція);</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вест другого рівня для визначення метилмалонової кислоти, пропіонової кислоти та 2-метилцитрату в плямі крові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тест другого рівня для визначення гормонів в плямі крові для виявлення АГС методом рідинної хроматографії-масспектрометрії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гомоцистеїну в плазмі або сироватці крові методом ВЕРХ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загальних глікозаміногліканів в сечі (ДМБ – тест);</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фракцій глікозаміногліканів в сечі методом електрофорезу;</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lastRenderedPageBreak/>
        <w:t>визначення глікозаміногліканів в сечі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олігосахаридів в сечі методом тонкошарової хроматографії;</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LysoGb1 в плазмі та сухих плямах крові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Lyso-SM-509 в сироватці крові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сухих плямах крові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плазмі крові  методом рідинної хроматографії-масспектрометрії;</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(Neo LSD)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(M7)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бета-глюкоцереброзидази в сухих плямах крові методом рідинної хроматографії-масспектрометрії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альфа-галактозидази в сухих плямах крові  методом рідинної хроматографії-масспектрометрії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a-галактозидази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a-глюкозидази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β-глюкозидази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α-ідуронідази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ідуронат-2-сульфатази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галактозо-6-сульфатази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N-ацетилгалактозаміну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β-глюкоронідази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α-N-ацетилглюкозамінідази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трипептидилпептидази в сухих плямах крові (для дітей);</w:t>
      </w:r>
    </w:p>
    <w:p w:rsidR="00ED2F91" w:rsidRPr="00495841" w:rsidRDefault="00ED2F91" w:rsidP="00ED2F9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кислої сфінгомієлінази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активності галактоцереброзидази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β-галактозидази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хітотриозидази в сухих плямах крові (для дітей);</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гексозамінідази загальної в лейкоцитах та плазмі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гексомінідази А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ɑ-маннозидази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b-маннозидази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b-глюкозидази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ɑ-ідуронідази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ідуронатсульфатази в плазмі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гепаран-N-сульфатази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ɑ-N-ацетилглюкозамінідази в плазмі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N-ацетилгалактозамін-6-сульфатази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сфінгомієлінази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ɑ-галактозидази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ɑ-фукозидази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хітотріозидази в плазмі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визначення активності арилсульфатази А в плазмі та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В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плазмі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глюкуронідази в плазмі та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ɑ-глюкозидази в лімфоцитах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пальмітоїлпротеїнтіоестерази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трипептидилпептидази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ліпази в лейкоцитах крові;</w:t>
      </w:r>
    </w:p>
    <w:p w:rsidR="00ED2F91" w:rsidRPr="00495841" w:rsidRDefault="00ED2F91" w:rsidP="00ED2F9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галактоцереброзидази в лейкоцитах крові;</w:t>
      </w:r>
    </w:p>
    <w:p w:rsidR="00ED2F91" w:rsidRPr="00495841" w:rsidRDefault="00ED2F91" w:rsidP="00ED2F91">
      <w:pPr>
        <w:shd w:val="clear" w:color="auto" w:fill="FFFFFF"/>
        <w:spacing w:after="240"/>
        <w:ind w:firstLine="567"/>
        <w:jc w:val="both"/>
        <w:rPr>
          <w:rFonts w:ascii="Times New Roman" w:hAnsi="Times New Roman"/>
          <w:sz w:val="24"/>
          <w:szCs w:val="24"/>
        </w:rPr>
      </w:pPr>
      <w:r w:rsidRPr="00495841">
        <w:rPr>
          <w:rFonts w:ascii="Times New Roman" w:hAnsi="Times New Roman"/>
          <w:sz w:val="24"/>
          <w:szCs w:val="24"/>
        </w:rPr>
        <w:t>визначення активності ацетил-КоА-a-глюкозамінацетилтрансферази в лейкоцитах крові.</w:t>
      </w:r>
    </w:p>
    <w:p w:rsidR="00ED2F91" w:rsidRDefault="00ED2F91" w:rsidP="00ED2F9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b/>
          <w:i/>
          <w:sz w:val="24"/>
          <w:szCs w:val="24"/>
        </w:rPr>
        <w:t>Клас  «Мікробіологія»</w:t>
      </w:r>
      <w:r>
        <w:rPr>
          <w:rFonts w:ascii="Times New Roman" w:hAnsi="Times New Roman"/>
          <w:b/>
          <w:sz w:val="24"/>
          <w:szCs w:val="24"/>
        </w:rPr>
        <w:t xml:space="preserve"> - проведення мікробіологічних досліджень:</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мікроскопія мазка, крім крові, з однієї або кількох ділянок, отриманого безпосередньо від пацієнта (не культури);</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посів та мікроскопія для виявлення патогенних мікроорганізмів у мазках з носа, горла, очей та вух (крім мазків, взятих для епідеміологічного нагляду), включаючи ідентифікацію збудника та тестування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мікроскопія та посів для виявлення патогенних мікроорганізмів на шкірі чи інших поверхневих ділянках, включаючи ідентифікацію збудника та тестування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для виявлення дерматофітів та інших грибів, що викликають шкірні захворювання, з зіскрібків шкіри, біопсії шкіри, волосся та нігтів; </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з уретри, піхви, шийки матки або прямої кишки (крім фекальних збудників), у тому числі з ідентифікацією збудника та тестування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із зразків мокротиння, у тому числі ідентифікація збудника та тестування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мікроскопія та посів післяопераційних ран, аспіратів порожнин тіла, синовіальної рідини, спинномозкової рідини або операційних чи біопсійних зразків на наявність патогенних мікроорганізмів за участю аеробних та анаеробних культур та використанням різних культуральних середовищ, а також ідентифікація збудника та тестування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дослідження сечі (включаючи серійні дослідження) будь-яким способом, включаючи: (а) кількість клітин; і (б) культура; і (c) кількість колоній; і (d) пофарбовані препарати; і (e) ідентифікація культивованих патогенів; і (f) тест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мікроскопія фекалій на яйцеклітини, цисти та паразитів;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посів крові на патогенні мікроорганізми (крім вірусів), та ідентифікація будь-якого культивованого патогена та  необхідні тести на чутливість до антибіотиків;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виявлення менінгококу, коринебактерій дифтерії, бордетелл, патогенного стафілококу, сальмонел, шигел, ентеропатогенних ешеріхій, кампілобактерій, ієрсиній,  вібріонів;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мінімальної інгібуючої концентрації антибактеріального препарату для штамів мікроорганізмів;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синергії антибактеріальних препаратів для полірезистентніх штамів мікроорганізмів;</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дослідження на носійство метицилін-резистентного стафілококу (MRSA), ванкоміцин-резистентного ентерококу (VRE) Enterobacteriacae, продуцентів бета-лактамаз розширеного спектру (ESBL) та придбаної бета-лактамази AmpC, або носійство Enterobacteriacae, продуцентів карбопенемаз;</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lastRenderedPageBreak/>
        <w:t>гепатит В: визначення ДНК вірусу гепатиту В у плазмі крові (якісне та кількісне визначення); НВsAg в сироватці та плазмі крові (електрохемілюмінесцентним методом та методом ІФА). НВе-антигену крові, антитіл класу IgM до ядерного антигену вірусу гепатиту В, сумарних антитіл до ядерного антигену вірусу гепатиту В у сироватці та плазмі крові, сумарних антитіл до НВе-антигену антитіл до НВsAg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Т-лімфотропного вірусу людини типу I/II в сироватці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гепатит С:  визначення антитіл класу IgM до ядерного антигену вірусу гепатиту С, сумарних антитіл до вірусу гепатиту С в сироватці та плазмі крові, виявлення РНК вірусу гепатиту С (якісне та кількісне визначення), генотипу вірусу гепатиту С;</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А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Д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Е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G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TTV вірусу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вірус простого герпесу 1 та 2 типу: визначення ДНК вірусу простого герпесу 1 та 2 типу в біологічному матеріалі: кров, ліквор, слина (якісне визначення), IgM та IgG до вірусу простого герпесу I, II-го типу вірусу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вірус Varicella Zoster: визначення ДНК вірусу вітряної віспи (Varicella Zoster virus) в біологічному матеріалі: кров, ліквор (якісне визначення), антитіл класу IgM та IgG до вірусу Varicella Zoster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цитомегаловірус людини: визначення ДНК цитомегаловірусу людини в біологічному матеріалі: кров, сеча, ліквор, слина (якісне визначення), в цільній крові (кількісне визначення), антитіл класу IgM та IgG до цитомегаловірусу людини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вірус Епштейна-Барр: визначення ДНК вірусу Епштейна-Барр в біологічному матеріалі: кров, ліквор, слина (якісне визначення), в цільній крові (кількісне визначення), антитіл класу IgM та IgG до капсидного антигену вірусу Епштейна-Барр в сироватці крові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парвовірус B19: визначення ДНК парвовірусу В19, (Parvovirus B19) в біологічному матеріалі, антитіл класу IgM та IgG, до Парвовірусу B 19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6 типу в біологічному матеріалі: кров, ліквор, слина, бронхоальвеолярний лаваж (якісне визначення)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7 типу в біологічному матеріалі: кров, ліквор, слина (якісне визначення)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РНК респіраторно-синцитіального вірусу (Human Respiratory Sincitial virus) 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ДНК аденовірусу (Human Adenovirus) 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РНК коронавірусу SARS-CoV-2 в біологічному матеріалі;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SARS-CoV-2 8: визначення рівня сумарних антитіл, антитіл класу IgG, IgМ або IgА до S-білку вірусу SARS-CoV-2 в сироватці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РНК риновірусу (Human Rhinovirus) 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ДНК поліомавірусів: JC вірусу (JC virus) + ВК вірусу (ВК virus)в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РНК ротавірусу (Rotavirus) 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РНК астровірусу (Astrovirus) 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lastRenderedPageBreak/>
        <w:t>визначення РНК норовірусу (Norovirus) в біологічному матеріалі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IgM та IgG до Toxoplasma gondii, Chlamydia trachomatis, Chlamydia pneumoniae Mycoplasma pneumoniae, краснухи в сироватці крові (для вагітних та дітей);</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Treponema pallidum в сироватці крові методом ІФА або електрохемілюмінесцентним методом в сироватці та плазмі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асоційованих із сифілісом реагінових антитіл (реакція мікропреципітації);</w:t>
      </w:r>
    </w:p>
    <w:p w:rsidR="00ED2F91" w:rsidRDefault="00ED2F91" w:rsidP="00ED2F91">
      <w:pPr>
        <w:shd w:val="clear" w:color="auto" w:fill="FFFFFF"/>
        <w:ind w:firstLine="567"/>
        <w:jc w:val="both"/>
        <w:rPr>
          <w:rFonts w:ascii="Times New Roman" w:hAnsi="Times New Roman"/>
        </w:rPr>
      </w:pPr>
      <w:r>
        <w:rPr>
          <w:rFonts w:ascii="Times New Roman" w:hAnsi="Times New Roman"/>
          <w:sz w:val="14"/>
          <w:szCs w:val="14"/>
        </w:rPr>
        <w:t xml:space="preserve"> </w:t>
      </w:r>
      <w:r>
        <w:rPr>
          <w:rFonts w:ascii="Times New Roman" w:hAnsi="Times New Roman"/>
          <w:sz w:val="24"/>
          <w:szCs w:val="24"/>
        </w:rPr>
        <w:t>визначення антитіл класу IgА або IgG до Helicobacter pylori в сироватці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IgМ або IgG до Borrelia burgdorferi (хвороба Лайма) в сироватці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антигенів лямблій (Giardia lamblia) в сироватці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антигену аскариди (Ascaris lumbricoides), ехінококку (Echinococcus granulosus), токсокари (Toxocara canis), трихінелли (Trichinella spiralis) в сироватці крові;</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тест клітинно-опосередкованої імунної відповіді в крові для виявлення латентного туберкульозу за допомогою аналізу вивільнення гамма-інтерферону (IGRA);</w:t>
      </w:r>
    </w:p>
    <w:p w:rsidR="00ED2F91" w:rsidRDefault="00ED2F91" w:rsidP="00ED2F91">
      <w:pPr>
        <w:shd w:val="clear" w:color="auto" w:fill="FFFFFF"/>
        <w:ind w:firstLine="567"/>
        <w:jc w:val="both"/>
        <w:rPr>
          <w:rFonts w:ascii="Times New Roman" w:hAnsi="Times New Roman"/>
        </w:rPr>
      </w:pPr>
      <w:r>
        <w:rPr>
          <w:rFonts w:ascii="Times New Roman" w:hAnsi="Times New Roman"/>
          <w:sz w:val="24"/>
          <w:szCs w:val="24"/>
        </w:rPr>
        <w:t>визначення ДНК Toxoplasma gondii в крові (якісне визначення).</w:t>
      </w:r>
    </w:p>
    <w:p w:rsidR="00ED2F91" w:rsidRDefault="00ED2F91" w:rsidP="00ED2F9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4. </w:t>
      </w:r>
      <w:r>
        <w:rPr>
          <w:rFonts w:ascii="Times New Roman" w:hAnsi="Times New Roman"/>
          <w:b/>
          <w:i/>
          <w:sz w:val="24"/>
          <w:szCs w:val="24"/>
        </w:rPr>
        <w:t>Клас «Імунологія»</w:t>
      </w:r>
      <w:r>
        <w:rPr>
          <w:rFonts w:ascii="Times New Roman" w:hAnsi="Times New Roman"/>
          <w:b/>
          <w:sz w:val="24"/>
          <w:szCs w:val="24"/>
        </w:rPr>
        <w:t xml:space="preserve"> - проведення імунологічних досліджень:</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інтерлейкіну-6 в сироватці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відносної кількості лімфоцитів (CD45+/CD14-) в цільній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субпопуляцій лімфоцитів в цільній крові за допомогою моноклональних антитіл;</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Т-лімфоцити (визначення загальної кількості Т-лімфоцитів (CD45+/CD3+ ), % активованих Т-лімфоцитів (CD3+HLA-DR+CD25+CD45+), ab-Т-клітин (CD45+CD3+TcRab+TcRγδ-), γδ-Т-клітин (CD45+CD3+TcRab-TcRγδ+), T-NK-клітин цитолітичних (CD16+CD56+CD3+CD45+), регуляторних Т-клітин (CD45+CD4+CD25brightCD127neg), T-клітин пам’яті (CD45+CD4+CD45RA-CD45RO+), Т-хелперів (CD3+CD4+CD8-CD45+), Т-хелперів наївних  (CD45+CD4+CD45RA+CD45RO-), Т-хелперів з ранньою активацією  (CD45+CD4+CD25+), Т-хелперів з пізньою активацією  (CD45+CD4+HLA-DR+), Т-цитотоксичних лімфоцитів (CD3+CD4-CD8+CD45+), Т-цитотоксичних лімфоцитів активованих (CD3+HLA-DR+CD8+CD45+), індекс співвідношення (Т-хелпери/Т-цитотоксичні лімфоцити), рецептори  Т-лімфоцитів до інтерлейкіну 2 в цільній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В-лімфоцити: визначення загальної кількості, В-лімфоцитів (CD45+CD19+), В1-клітин (аутореактивних) (CD45+CD19+CD5+), В2-клітин (наївних).(CD45+CD19+CD5-CD27-), В-клітин пам’яті.(CD45+CD19+CD5-CD27+), кількість загальних NK-клітин (CD45+CD3-CD16+ CD56+), В-клітинного рецептору, експресії IgD в цільній крові, експресії IgM в цільній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NK-клітини: визначення NK-клітин цитолітичних (CD45+CD3-CD16brightCD56dim),  NK-клітин цитокінпродукуючих (CD45+CD3-CD16dim-to-negCD56bright), маркеру Fas-індукованого апоптозу (CD95) в цільній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ідентифікація нейтрофілів (гранулоцитів): визначення диференційних антигенів, індексу (CD45+CD64+) на моноцитах та нейтрофілах, кількості активованих моноцитів (CD45+CD14+HLA-DR+), поглинальної активності нейтрофілів (BURST тест) в цільній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імуноглобуліну А, G, М, D, Е, будь-яким методом, у сироватці, сечі чи іншій рідині організму;</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поверхневого та цитоплазматичного IgM на клітинах біологічного матеріалу за допомогою моноклональних антитіл методом проточної цитометрії;</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визначення Т-клітинного рецептору для антигену (TCR a/b) на клітинах біологічного матеріалу за допомогою моноклональних антитіл методом проточної цитометрії; </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lastRenderedPageBreak/>
        <w:t>визначення Т-клітинного рецептору для антигену (TCR gamma/delta) на клітинах біологічного матеріалу за допомогою моноклональних антитіл методом проточної цитометрії;</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імуноглобуліну Е до одного або кількох потенційних алергенів;</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гемолітичного комплементу;</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компонентів комплементу С3 </w:t>
      </w:r>
      <w:r w:rsidRPr="00495841">
        <w:rPr>
          <w:rFonts w:ascii="Times New Roman" w:hAnsi="Times New Roman"/>
          <w:sz w:val="16"/>
          <w:szCs w:val="16"/>
        </w:rPr>
        <w:t xml:space="preserve"> </w:t>
      </w:r>
      <w:r w:rsidRPr="00495841">
        <w:rPr>
          <w:rFonts w:ascii="Times New Roman" w:hAnsi="Times New Roman"/>
          <w:sz w:val="24"/>
          <w:szCs w:val="24"/>
        </w:rPr>
        <w:t>і С4;</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еозинофільного катіонного білка</w:t>
      </w:r>
      <w:r w:rsidRPr="00495841">
        <w:rPr>
          <w:rFonts w:ascii="Times New Roman" w:hAnsi="Times New Roman"/>
          <w:sz w:val="16"/>
          <w:szCs w:val="16"/>
        </w:rPr>
        <w:t xml:space="preserve"> </w:t>
      </w:r>
      <w:r w:rsidRPr="00495841">
        <w:rPr>
          <w:rFonts w:ascii="Times New Roman" w:hAnsi="Times New Roman"/>
          <w:sz w:val="24"/>
          <w:szCs w:val="24"/>
        </w:rPr>
        <w:t>в сироватці або плазмі, максимум 3 аналізів за 12 місяців, для моніторингу відповіді на терапію астми, що лікується кортикостероїдами, у дитини віком до 12 років;</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антинуклеарні антитіла — виявлення в сироватці або інших рідинах організму, включаючи кількісне визначення, якщо потрібно;</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дволанцюгової ДНК</w:t>
      </w:r>
      <w:r w:rsidRPr="00495841">
        <w:rPr>
          <w:rFonts w:ascii="Times New Roman" w:hAnsi="Times New Roman"/>
          <w:sz w:val="16"/>
          <w:szCs w:val="16"/>
        </w:rPr>
        <w:t xml:space="preserve"> </w:t>
      </w:r>
      <w:r w:rsidRPr="00495841">
        <w:rPr>
          <w:rFonts w:ascii="Times New Roman" w:hAnsi="Times New Roman"/>
          <w:sz w:val="24"/>
          <w:szCs w:val="24"/>
        </w:rPr>
        <w:t>(dsDNA-NcX) в сироватці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ревматоїдний фактор — виявлення будь-яким методом</w:t>
      </w:r>
      <w:r w:rsidRPr="00495841">
        <w:rPr>
          <w:rFonts w:ascii="Times New Roman" w:hAnsi="Times New Roman"/>
          <w:sz w:val="16"/>
          <w:szCs w:val="16"/>
        </w:rPr>
        <w:t xml:space="preserve"> </w:t>
      </w:r>
      <w:r w:rsidRPr="00495841">
        <w:rPr>
          <w:rFonts w:ascii="Times New Roman" w:hAnsi="Times New Roman"/>
          <w:sz w:val="24"/>
          <w:szCs w:val="24"/>
        </w:rPr>
        <w:t>у сироватці крові чи інших рідинах організму, включаючи кількісне визначення;</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тканинних антигенів;</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дослідження рецидивуючої інфекції шляхом якісної оцінки на наявність дефектів окислювальних шляхів у нейтрофілах за допомогою тесту відновлення нітросинього тетразолію (НСТ-тест);</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людських лейкоцитарних диференційних поверхневих та цитоплазматичних антигенів (CD) за допомогою моноклональних антитіл методом проточної цитометрії в біологічному матеріалі: CD1а, CD2, поверхневого антигену CD3; цитоплазматичного антигену CD3, CD22, CD75а, CD79а,  поверхнавих CD4, CD5, CD7, CD8, CD9, CD10, CD11а, CD11b, CD11с, CD13, CD14, CD15, CD16, CD19, 20 CD22, CD24, CD25, CD27, CD28, CD30, CD31, CD33, CD34, CD38, CD41, CD42, CD42а, CD42b, CD45RA, CD45, CD55, CD56, CD58, CD59, CD61, CD64, CD65, CD81, CD95, CD99, CD117, CD123, CD235a, CD371, CD NG2;</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HLA-DR-антигену;</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мієлопероксидази (MPO), дезоксинуклеотидилтрансферази (TdT) в клітинах біологічного матеріалу за допомогою моноклональних антитіл методом проточної цитометрії;</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кардіоліпіну або бета 2 глікопротеїну I — виявлення, включаючи кількісне визначення;</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мітохондріальних антигенів в сироватці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ядерних та цитоплазматичних антигенів в сироватці крові (рибосомальні Р-білки, nRNP/Sm, Sm, SS-A, SS-B, Ro-52, Scl-70, Jo-1, PCNA, PM-Scl, dsDNA, гістони та центромери);</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цитоплазматичних структур нейтрофілів в сироватці крові (протеїназа-3, лактоферрин, еластаза);</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циклічного цитрулін-вмісткого пептиду (CCP) в сироватці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цитрулінового виментину (Sa-антигену) в сироватці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мієлопероксидази (МПО) в сироватці крові;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IgG до одного або кількох алергенів респіраторних захворювань;</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легкі ланцюги імуноглобулінів типу каппа;</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14"/>
          <w:szCs w:val="14"/>
        </w:rPr>
        <w:t xml:space="preserve"> </w:t>
      </w:r>
      <w:r w:rsidRPr="00495841">
        <w:rPr>
          <w:rFonts w:ascii="Times New Roman" w:hAnsi="Times New Roman"/>
          <w:sz w:val="24"/>
          <w:szCs w:val="24"/>
        </w:rPr>
        <w:t>легкі ланцюги імуноглобулінів типу лямбда;</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мінімальної залишкової хвороби (MRD) за допомогою моноклональних антитіл на проточному цитометрі;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імуноцитологічне дослідження клітин кісткового мозку, спинномозкової рідини, клітин ексудатів, транссудатів, анаплазованих клітин фрагментів пухлин за допомогою моноклональних антитіл на проточному цитометрі, зокрема вмісту гемопоетичних </w:t>
      </w:r>
      <w:r w:rsidRPr="00495841">
        <w:rPr>
          <w:rFonts w:ascii="Times New Roman" w:hAnsi="Times New Roman"/>
          <w:sz w:val="24"/>
          <w:szCs w:val="24"/>
        </w:rPr>
        <w:lastRenderedPageBreak/>
        <w:t>стовбурових клітин ( CD34+) із супутніми популяціями Т- лімфоцитів та натуральних кілерів (CD45, CD3, CD16, CD56);</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фагоцитарної активності нейтрофілів в  периферичній крові за допомогою моноклональних антитіл на проточному цитометрі;</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ДНК-індексу пухлиних клітин периферичної крові/кісткового мозку методом проточної цитометрії;</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клітин з GPI-недостатністю в периферичній крові методом проточної цитометрії;</w:t>
      </w:r>
    </w:p>
    <w:p w:rsidR="00ED2F91" w:rsidRPr="00495841" w:rsidRDefault="00ED2F91" w:rsidP="00ED2F9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ендомізію та  до тканинної трансглутамінази (для дітей);</w:t>
      </w:r>
    </w:p>
    <w:p w:rsidR="00ED2F91" w:rsidRPr="00495841" w:rsidRDefault="00ED2F91" w:rsidP="00ED2F91">
      <w:pPr>
        <w:shd w:val="clear" w:color="auto" w:fill="FFFFFF"/>
        <w:spacing w:line="240" w:lineRule="auto"/>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TCR Vβ репертуару;</w:t>
      </w:r>
    </w:p>
    <w:p w:rsidR="00ED2F91" w:rsidRPr="00495841" w:rsidRDefault="00ED2F91" w:rsidP="00ED2F91">
      <w:pPr>
        <w:shd w:val="clear" w:color="auto" w:fill="FFFFFF"/>
        <w:spacing w:line="240" w:lineRule="auto"/>
        <w:ind w:firstLine="567"/>
        <w:jc w:val="both"/>
        <w:rPr>
          <w:rFonts w:eastAsia="Arial" w:cs="Arial"/>
          <w:highlight w:val="white"/>
        </w:rPr>
      </w:pPr>
      <w:r w:rsidRPr="00495841">
        <w:rPr>
          <w:rFonts w:ascii="Times New Roman" w:hAnsi="Times New Roman"/>
          <w:sz w:val="24"/>
          <w:szCs w:val="24"/>
          <w:highlight w:val="white"/>
        </w:rPr>
        <w:t>визначення антитіл до тромбоцитарного антигену людини.</w:t>
      </w:r>
    </w:p>
    <w:p w:rsidR="00ED2F91" w:rsidRDefault="00ED2F91" w:rsidP="00ED2F9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5. </w:t>
      </w:r>
      <w:r>
        <w:rPr>
          <w:rFonts w:ascii="Times New Roman" w:hAnsi="Times New Roman"/>
          <w:b/>
          <w:i/>
          <w:sz w:val="24"/>
          <w:szCs w:val="24"/>
        </w:rPr>
        <w:t>Клас «Тканинна патологія»</w:t>
      </w:r>
      <w:r>
        <w:rPr>
          <w:rFonts w:ascii="Times New Roman" w:hAnsi="Times New Roman"/>
          <w:b/>
          <w:sz w:val="24"/>
          <w:szCs w:val="24"/>
        </w:rPr>
        <w:t xml:space="preserve"> - проведення досліджень:</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біопсійного матеріалу з одним або декількома блоками тканини, включаючи розтин зразка, обробку всіх тканин, фарбування, світлову мікроскопію та висновки: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ендометрію (аспіраційна біопсія, вишкрібання, поліпектомія);</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вишкрібання цервікального каналу;</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шийки матки (не ексцизійної), фалопієвої труби, вагіни, вульви, статевих губ, кісти бартолінової залози;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шкіри, молочної залози;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простати, яєчка, нирки;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ока, кон'юнктиви, рогівки;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носоглотки, ротоглотки, носа, синусу параназального, мигдалин, поліпу, ясен, губи, язика або мигдалини;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матеріалу при проведенні ендоскопічних досліджень (езофагогастродуоденоскопії, колоноскопії, ректороманоскопії, бронхоскопії, гістероскопії, цистоскопії);</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біопсії м’язів, сухожилля, сухожильної оболонки, суглобової та навколо суглобової тканини, кістки;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гістохімічне дослідження ферментів скелетних м'язів для дослідження первинних дегенеративних або метаболічних захворювань м'язів або аномалій м'язів, вторинних у зв'язку з захворюванням центральної або периферичної нервової системи;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імуногістохімічне дослідження біопсійного матеріалу за допомогою імунофлюоресценції, імунопероксидази або інших методів мічених антитіл з декількома антигенними специфічностями на зразок;</w:t>
      </w:r>
    </w:p>
    <w:p w:rsidR="00ED2F91" w:rsidRDefault="00ED2F91" w:rsidP="00ED2F91">
      <w:pPr>
        <w:shd w:val="clear" w:color="auto" w:fill="FFFFFF"/>
        <w:spacing w:after="240"/>
        <w:ind w:firstLine="567"/>
        <w:jc w:val="both"/>
        <w:rPr>
          <w:rFonts w:ascii="Times New Roman" w:hAnsi="Times New Roman"/>
          <w:sz w:val="24"/>
          <w:szCs w:val="24"/>
        </w:rPr>
      </w:pPr>
      <w:r>
        <w:rPr>
          <w:rFonts w:ascii="Times New Roman" w:hAnsi="Times New Roman"/>
          <w:sz w:val="24"/>
          <w:szCs w:val="24"/>
        </w:rPr>
        <w:t>електронно-мікроскопічне дослідження біопсійного матеріалу.</w:t>
      </w:r>
    </w:p>
    <w:p w:rsidR="00ED2F91" w:rsidRDefault="00ED2F91" w:rsidP="00ED2F9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6. </w:t>
      </w:r>
      <w:r>
        <w:rPr>
          <w:rFonts w:ascii="Times New Roman" w:hAnsi="Times New Roman"/>
          <w:b/>
          <w:i/>
          <w:sz w:val="24"/>
          <w:szCs w:val="24"/>
        </w:rPr>
        <w:t>Клас «Цитологія»</w:t>
      </w:r>
      <w:r>
        <w:rPr>
          <w:rFonts w:ascii="Times New Roman" w:hAnsi="Times New Roman"/>
          <w:b/>
          <w:sz w:val="24"/>
          <w:szCs w:val="24"/>
        </w:rPr>
        <w:t xml:space="preserve"> - проведення цитологічних досліджень:</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виділень із сосків або мазків зі шкіри, губ, рота, носа або заднього проходу;</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мокротиння, сечі, ексудату інших рідин організму, а також матеріалу, отриманого за допомогою зішкрібу, відбитку, аспірації, змиву;</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цитологічне дослідження шийки матки (ПАП- тест традиційний);</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часткове генотипування на онкогенний вірус папіломи (типи 16, 18) людини;</w:t>
      </w:r>
    </w:p>
    <w:p w:rsidR="00ED2F91" w:rsidRDefault="00ED2F91" w:rsidP="00ED2F9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рідкого зразка шийки матки або вагінального склепіння, якщо пофарбовані клітини досліджуються під мікроскопом або за допомогою автоматизованого аналізу;</w:t>
      </w:r>
    </w:p>
    <w:p w:rsidR="00ED2F91" w:rsidRDefault="00ED2F91" w:rsidP="00ED2F91">
      <w:pPr>
        <w:shd w:val="clear" w:color="auto" w:fill="FFFFFF"/>
        <w:spacing w:after="240"/>
        <w:ind w:firstLine="567"/>
        <w:jc w:val="both"/>
        <w:rPr>
          <w:rFonts w:ascii="Times New Roman" w:hAnsi="Times New Roman"/>
          <w:sz w:val="24"/>
          <w:szCs w:val="24"/>
        </w:rPr>
      </w:pPr>
      <w:r>
        <w:rPr>
          <w:rFonts w:ascii="Times New Roman" w:hAnsi="Times New Roman"/>
          <w:sz w:val="24"/>
          <w:szCs w:val="24"/>
        </w:rPr>
        <w:t>цитологічне дослідження пофарбованих препаратів спинномозкової рідини, випітних рідин, відбитків пухлин, пухлиноподібних новоутворень м'яких тканин (диференційна діагностика лімфопроліферативних захворювань).</w:t>
      </w:r>
    </w:p>
    <w:p w:rsidR="00ED2F91" w:rsidRDefault="00ED2F91" w:rsidP="00ED2F91">
      <w:pPr>
        <w:shd w:val="clear" w:color="auto" w:fill="FFFFFF"/>
        <w:spacing w:before="240"/>
        <w:ind w:firstLine="567"/>
        <w:jc w:val="both"/>
        <w:rPr>
          <w:rFonts w:ascii="Times New Roman" w:hAnsi="Times New Roman"/>
          <w:sz w:val="24"/>
          <w:szCs w:val="24"/>
        </w:rPr>
      </w:pPr>
      <w:r>
        <w:rPr>
          <w:rFonts w:ascii="Times New Roman" w:hAnsi="Times New Roman"/>
          <w:b/>
          <w:sz w:val="24"/>
          <w:szCs w:val="24"/>
        </w:rPr>
        <w:lastRenderedPageBreak/>
        <w:t xml:space="preserve">7. </w:t>
      </w:r>
      <w:r>
        <w:rPr>
          <w:rFonts w:ascii="Times New Roman" w:hAnsi="Times New Roman"/>
          <w:b/>
          <w:i/>
          <w:sz w:val="24"/>
          <w:szCs w:val="24"/>
        </w:rPr>
        <w:t>Клас «Генетика»</w:t>
      </w:r>
      <w:r>
        <w:rPr>
          <w:rFonts w:ascii="Times New Roman" w:hAnsi="Times New Roman"/>
          <w:b/>
          <w:sz w:val="24"/>
          <w:szCs w:val="24"/>
        </w:rPr>
        <w:t xml:space="preserve"> - проведення генетичних досліджень:</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GALT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HADHA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дуплікації 24bp в гені СHIT1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ACADM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IDS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ACADVL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GCDH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MUT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ARSB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GALNS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GALT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GBA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GLB1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IVD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IDUA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SGSH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TPP1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PAH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генів SMN1, SMN2 та NAIP методом MLPA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мультиплексне визначення гомозиготної делеції 7-го екзону гена SMN1 та кількості копій TREC та KREC методом ПЛР у реальному часі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панелі CarrierSeq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Повноекзомне сиквенування (WES)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частого варіанта делеції в гені GALC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BTD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CFTR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варіантів в гені ETFDH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ETFB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BCKDHB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SLC22A5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HADHB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MMAB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MMACHC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PCCВ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FGFR3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FGFR3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FAH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HADHA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гену CFTR  методом NGS з використанням таргетної панелі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ТКІД методом NGS з використанням таргетної панелі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атаксій методом NGS з використанням таргетної панелі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лізосомних захворювань методом NGS з використанням таргетної панелі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первинних імунодефіцитів методом NGS з використанням таргетної панел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органічних ацидурій методом NGS з використанням таргетної панелі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мітохондріального геному методом NGS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CFTR методом LIPA;</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CYP21A2 методом MLPA;</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IDS методом MLPA;</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DMD методом MLPA;</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CFTR методом MLPA;</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100-300 генів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молекулярно-генетичне дослідження методом NGS з використанням таргетної панелі 300-500 генів (для дітей);</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відомих варіантів в генах спадкової патології методом  прямого автоматичного сиквенування за Сенгером (1 раз за життя);</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Х-хроматину у клiтинах слизової оболонки порожнини рота;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каріотипу пацієнта у лiмфоцитах периферійної кровi </w:t>
      </w:r>
      <w:r w:rsidRPr="00BE0C42">
        <w:rPr>
          <w:rFonts w:ascii="Times New Roman" w:hAnsi="Times New Roman"/>
          <w:bCs/>
          <w:sz w:val="24"/>
          <w:szCs w:val="24"/>
          <w:highlight w:val="white"/>
        </w:rPr>
        <w:t>(</w:t>
      </w:r>
      <w:r w:rsidRPr="00BE0C42">
        <w:rPr>
          <w:rFonts w:ascii="Times New Roman" w:hAnsi="Times New Roman"/>
          <w:bCs/>
          <w:sz w:val="24"/>
          <w:szCs w:val="24"/>
        </w:rPr>
        <w:t>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фарбування препаратів CBG методом;</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Y-хроматину шляхом QFQ-фарбування;</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гена фактора V або виявлення інших відповідних мутацій у пацієнтів з підтвердженим венозним тромбозом або емболією легеневої артерії;</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генетичної мутації C282Y гена HFE та інших мутацій для гемохроматозу (для пацієнтів з підвищеним насиченням трансферину або рівнем феритину вище нормального контрольного діапазону або пацієнт має родича першого ступеня з гемохроматозом, або пацієнт має родича першого ступеня з гомозиготністю щодо генетичної мутації C282Y або зі складною гетерозиготністю щодо визнаних генетичних мутацій щодо гемохроматозу);</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мікроделеції 22q11.2 (HIRA) методом флуоресцентної in situ гібридизації в клітинах периферійної крові пацієнта </w:t>
      </w:r>
      <w:r w:rsidRPr="00BE0C42">
        <w:rPr>
          <w:rFonts w:ascii="Times New Roman" w:hAnsi="Times New Roman"/>
          <w:bCs/>
          <w:sz w:val="24"/>
          <w:szCs w:val="24"/>
          <w:highlight w:val="white"/>
        </w:rPr>
        <w:t>(1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22q13.3 (ARSA) методом флуоресцентної in situ гібридизації в клітинах периферійної крові пацієнта (синдром Фелан-МакДерміта)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(SNRPN) методом флуоресцентної in situ гібридизації в клітинах периферійної крові пацієнта (синдром Прадера-Віллі)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(UBE3A) методом флуоресцентної in situ гібридизації в клітинах периферійної крові пацієнта (синдром Ангельмана)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7q11.23 (ELN) методом флуоресцентної in situ гібридизації в клітинах периферійної крові пацієнта (синдром Вільямса)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highlight w:val="white"/>
        </w:rPr>
        <w:t>виявлення мікроделеції 5q35 (NSD1) методом флуоресцентної in situ гібридизації в клітинах периферійної крові пацієнта (синдром Сотоса) (1 раз в житті, до 18</w:t>
      </w:r>
      <w:r w:rsidRPr="00BE0C42">
        <w:rPr>
          <w:rFonts w:ascii="Times New Roman" w:hAnsi="Times New Roman"/>
          <w:bCs/>
          <w:sz w:val="24"/>
          <w:szCs w:val="24"/>
          <w:highlight w:val="yellow"/>
        </w:rPr>
        <w:t xml:space="preserve"> </w:t>
      </w:r>
      <w:r w:rsidRPr="00BE0C42">
        <w:rPr>
          <w:rFonts w:ascii="Times New Roman" w:hAnsi="Times New Roman"/>
          <w:bCs/>
          <w:sz w:val="24"/>
          <w:szCs w:val="24"/>
          <w:highlight w:val="white"/>
        </w:rPr>
        <w:t>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17р11.2 (SMS) методом флуоресцентної in situ гібридизації в клітинах периферійної крові пацієнта (синдром Сміта-Магеніса)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17р13.3 (LIS1) методом флуоресцентної in situ гібридизації в клітинах периферійної крові пацієнта (синдром Мілера-Декера)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4р16.3(WHS) методом флуоресцентної in situ гібридизації в клітинах периферійної крові пацієнта (синдром Вольфа-Хіршхорна)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5р15.3 методом флуоресцентної in situ гібридизації в клітинах периферійної крові пацієнта (синдром "котячого крику")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1р36 методом флуоресцентної in situ гібридизації в клітинах периферійної крові пацієнта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тетрасомії короткого плеча хромосоми 12 методом флуоресцентної in situ гібридизації в клітинах букального епітелію пацієнта (синдром Кіліана-Тишлера-Ніколя)</w:t>
      </w:r>
      <w:r w:rsidRPr="00BE0C42">
        <w:rPr>
          <w:rFonts w:ascii="Times New Roman" w:hAnsi="Times New Roman"/>
          <w:bCs/>
          <w:sz w:val="24"/>
          <w:szCs w:val="24"/>
          <w:highlight w:val="white"/>
        </w:rPr>
        <w:t xml:space="preserve"> (1 раз в житті, до 18 років)</w:t>
      </w:r>
      <w:r w:rsidRPr="00BE0C42">
        <w:rPr>
          <w:rFonts w:ascii="Times New Roman" w:hAnsi="Times New Roman"/>
          <w:bCs/>
          <w:sz w:val="24"/>
          <w:szCs w:val="24"/>
        </w:rPr>
        <w:t>;</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встановлення гену SRY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мутацій гену SRY молекулярно-генетичними методами (один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18 методом флуоресцентної in situ гібридизації в клітинах периферійної крові пацієнта (синдром Едвардса) </w:t>
      </w:r>
      <w:r w:rsidRPr="00BE0C42">
        <w:rPr>
          <w:rFonts w:ascii="Times New Roman" w:hAnsi="Times New Roman"/>
          <w:bCs/>
          <w:sz w:val="24"/>
          <w:szCs w:val="24"/>
          <w:highlight w:val="white"/>
        </w:rPr>
        <w:t>(1 раз в житті, до 18 років)</w:t>
      </w:r>
      <w:r w:rsidRPr="00BE0C42">
        <w:rPr>
          <w:rFonts w:ascii="Times New Roman" w:hAnsi="Times New Roman"/>
          <w:bCs/>
          <w:sz w:val="24"/>
          <w:szCs w:val="24"/>
        </w:rPr>
        <w:t>;</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13 методом флуоресцентної in situ гібридизації в клітинах периферійної крові пацієнта (синдром Патау) </w:t>
      </w:r>
      <w:r w:rsidRPr="00BE0C42">
        <w:rPr>
          <w:rFonts w:ascii="Times New Roman" w:hAnsi="Times New Roman"/>
          <w:bCs/>
          <w:sz w:val="24"/>
          <w:szCs w:val="24"/>
          <w:highlight w:val="white"/>
        </w:rPr>
        <w:t>(1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трисомії хромосоми 21 методом флуоресцентної in situ гібридизації в клітинах периферійної крові пацієнта (синдром Дауна)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субтеломерних послідовностей однієї хромосоми методом флуоресцентної in situ гібридизації в клітинах периферійної крові пацієнта (один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анеуплоідій статевих хромосом методом флуоресцентної in situ гібридизації в клітинах периферійної крові пацієнта (один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метильного статусу гена SNRPN методом ПЛР (1 раз в житті, до 18 років);</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метильного статусу диференційно метильованих ділянок локусу 11p15 та на хромосомі 7 (синдром Відемана-Беквіта/Рассела-Сільвера) методом MLPA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MECP2 методом прямого автоматичного сиквенування за Сенгером</w:t>
      </w:r>
      <w:r w:rsidRPr="00BE0C42">
        <w:rPr>
          <w:rFonts w:ascii="Times New Roman" w:hAnsi="Times New Roman"/>
          <w:bCs/>
          <w:sz w:val="24"/>
          <w:szCs w:val="24"/>
          <w:highlight w:val="white"/>
        </w:rPr>
        <w:t xml:space="preserve">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 методом прямого автоматичного сиквенування за Сенгером (один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тринуклеотидних повторів в гені FMR1 методом фрагментного аналізу (синдром Мартіна-Белла) (один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аналіз повторів (ТА) гену UGT1A1 методом прямого автоматичного сиквенування за Сенгером (синдром Жильбера) (один раз в житті, без обмеження по віку);</w:t>
      </w:r>
    </w:p>
    <w:p w:rsidR="00ED2F91" w:rsidRPr="00BE0C42" w:rsidRDefault="00ED2F91" w:rsidP="00ED2F9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 xml:space="preserve">визначення кількості тринуклеотидних повторів в гені </w:t>
      </w:r>
      <w:r w:rsidRPr="00BE0C42">
        <w:rPr>
          <w:rFonts w:ascii="Times New Roman" w:hAnsi="Times New Roman"/>
          <w:bCs/>
          <w:i/>
          <w:sz w:val="24"/>
          <w:szCs w:val="24"/>
          <w:highlight w:val="white"/>
        </w:rPr>
        <w:t>PHOX2B</w:t>
      </w:r>
      <w:r w:rsidRPr="00BE0C42">
        <w:rPr>
          <w:rFonts w:ascii="Times New Roman" w:hAnsi="Times New Roman"/>
          <w:bCs/>
          <w:sz w:val="24"/>
          <w:szCs w:val="24"/>
          <w:highlight w:val="white"/>
        </w:rPr>
        <w:t xml:space="preserve"> методом фрагментного аналізу (синдром центральної гіповентиляції (Ундіни)) (1 раз в житті, до 18 років);</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хромосомний мікроматричний аналіз (ХМА);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кісткового мозку;</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В-клітинного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Т-клітинного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експресії гену MECOM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експресії гену PRDM16 методом ПЛР з детекцією в реальному часі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найпоширеніших транскриптів злитого химерного онкогену KIAA1549::BRAF, методом ПЛР з детекцією в реальному часі, в зразку пухлинних клітин;</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ZFTA::RELA, методом ПЛР з детекцією в реальному часі, в зразку пухлинних клітин;</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EWSR1::FLI1, методом ПЛР з детекцією в реальному часі, в зразку пухлинних клітин;</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PAX3::FOXO1A, методом ПЛР з детекцією в реальному часі, в зразку пухлинних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комплексна первинна діагностика мієлопроліферативних захворювань (справжня поліцитемія, есенціальна тромбоцитопенія та первинний мієлофіброз)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FLT3-ITD в зразку кісткового мозку або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в зразку кісткового мозку або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-675 5G/4G в гені SERPINE1 (РАІ-1) (інгибитор активатору плазміногена І типу)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р.M235T в гені AGT (ангіотинзиногену)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А1298С в гені MTHFR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делецій в групі генів IKZF1 plus, методом мультиплексної лігазно-залежної ампліфікації зондів (MLPA)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 в гені IKZF1 на рівні 1-6 екзонів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варіанту V617F в гені JAK2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JAK2 (екзон 12)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D816V в гені c-KIT при діагностиці системного мастоцитозу або лейкемії, яка асоційована з даним захворюванням,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NPM1 (нуклеофозмін-1)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варіантів в гені MPL (10 екзон)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CALR (кальретикуліну)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A1298C в гені MTHFR методом ПЛР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ступеню метилювання промотора MGMT методом ПЛР з детекцією в реальному часі в біологічному матеріалі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відносно контрольного гена ABL1, для контролю мінімальної залишкової хвороби (MRD) з детекцією в реальному часі в зразку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(р.190 – транскрипту) для контролю мінімальної залишкової хвороби (MRD) з детекцією в реальному часі в зразках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ETV6-RUNX1 (TEL-AML) для контролю мінімальної залишкової хвороби (MRD) з детекцією в реальному часі в зразках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(MLL-AF4 тип e10e4, MLL-AF4 тип e9e5, MLL-AF4 тип e11e5) онкогена KMT2A-AFF1 для контролю мінімальної залишкової хвороби (MRD) з детекцією в реальному часі в зразках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(MLL-AF9 тип В е8е9, MLL-AF9 е8е10, MLL-AF9 тип А е10е6) онкогена KMT2A-MLLT3 для контролю мінімальної залишкової хвороби (MRD) з детекцією в реальному часі в зразку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1) для контролю мінімальної залишкової хвороби (MRD) з детекцією в реальному часі в зразках кісткового мозку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3) для контролю мінімальної залишкової хвороби (MRD) з детекцією в реальному часі в зразках кісткового мозку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кількісне визначення експресії онкогена RUNX1-RUNX1T1 (AML/ETO) для контролю мінімальної залишкової хвороби (MRD) з детекцією в реальному часі в зразках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A) для контролю мінімальної залишкової хвороби (MRD) з детекцією в реальному часі в зразках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D) для контролю мінімальної залишкової хвороби (MRD)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Е) для контролю мінімальної залишкової хвороби (MRD)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TCF3-PBX1 (E2A/PBX1) для контролю мінімальної залишкової хвороби (MRD)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SIL-TAL1 для контролю мінімальної залишкової хвороби (MRD) з детекцією в реальному часі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мутацій в генах IDH1 (p.R132H та p.R132C) та IDH2 (p.R172M та p.R172K),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p.V600E в гені BRAF,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мутацій в гені BRAF V600 (E, E2, D, D2, K, R і M), методом ПЛР з детекцією в реальному часі, в зразку пухлинних клітин або FFPE;</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перший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другий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ампліфікації 21 хромосоми (iamp21), методом мультиплексної лігазно-залежної ампліфікації зондів (MLPA), в зразку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в гені RB1, методом мультиплексної лігазно-залежної ампліфікації зондів (MLPA), в зразку периферійної крові, тканини пухлини,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6, 14q, 16 і 17 у пацієнтів з медулобластомами (набір 1),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2, 3, 7 і 9 у пацієнтів з медулобластомами (набір 2),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1, 4q, 5q, 8, 10 і 20 у пацієнтів з медулобластомами (набір 3),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та варіантів в генах BRAF (p.V600E), IDH1 (p.R132H та p.R132C), IDH2 (p.R172M та p.R172K), точкових варіантів для виявлення геномних дуплікацій, що призводять до злиття генів SRGAP3-RAF1, KIAA1549-BRAF і FGFR1-TACC1, аберацій кількості копій у BRAF, CDKN2A, CDKN2B, FGFR1, MYB і MYBL1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CNV в генах, що розташовані на хромосомах 1p-19q, CDKN2A, CDKN2B та варіантів у генах IDH1 (p.R132H та p.R132C), IDH2 (p.R172M та p.R172K) у пацієнтів зі </w:t>
      </w:r>
      <w:r w:rsidRPr="00BE0C42">
        <w:rPr>
          <w:rFonts w:ascii="Times New Roman" w:hAnsi="Times New Roman"/>
          <w:bCs/>
          <w:sz w:val="24"/>
          <w:szCs w:val="24"/>
        </w:rPr>
        <w:lastRenderedPageBreak/>
        <w:t>злоякісними новоутвореннями,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варіантів в гені TERT (C228T та C250T), визначення кількості хромосом 7 і 10, та CNV (делецій/дуплікацій) у наступних генах PDGFRA (4q12), EGFR (7p11.2), CDKN2A (9p21.3), PTEN (10q23.31), CDK4, MIR26A2, MDM2 (12q14-q15) і NFKBIA (14q13.2) і TP53 (17p13.1), методом мультиплексної лігазно-залежної ампліфікації зондів (MLPA), в зразку пухлинних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у наступних генах PDGFRA (4q12), EGFR (7p11.2), CDKN2A (9p21.3), PTEN (10q23.31), CDK4, MIR26A2, MDM2 (12q14-q15) і NFKBIA (14q13.2) і TP53 (17p13.1),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аномального метилювання та CNV (делецій/дуплікацій) гена MGMT, а також варіантів в генах IDH1 (p.R132H та p.R132C), IDH2 (p.R172M та p.R172K) та TERT (C228T та C250T), методом мультиплексної лігазно-залежної ампліфікації зондів (MLPA), в зразку пухлинних клітин;</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1, 3 і 11 (набір 1), методом мультиплексної лігазно-залежної ампліфікації зондів (MLPA), в зразку пухлинних клітин;</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2, включаючи визначення статусу ампліфікації гену MYCN і 17 (набір 2), методом мультиплексної лігазно-залежної ампліфікації зондів (MLPA), в зразку пухлинних клітин;</w:t>
      </w:r>
    </w:p>
    <w:p w:rsidR="00ED2F91" w:rsidRPr="00BE0C42" w:rsidRDefault="00ED2F91" w:rsidP="00ED2F9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4, 7, 9, 12 і 14 (набір 3), методом мультиплексної лігазно-залежної ампліфікації зондів (MLPA), в зразку пухлинних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варіанту FLT3-ITD методом алель-специфічної ПЛР та подальшим STR-аналізом (коротких тандемних повторів), в зразку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FLT3-TKD (p.D835) методом алель-специфічної ПЛР та подальшим STR-аналізом (коротких тандемних повторів), в зразку кісткового мозку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GATA1 методом прямого автоматичного секвенування за Сенгером в зразку кісткового мозку пацієнта або периферійної крові;</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злитому гені BCR::ABL1 методом прямого автоматичного секвенування за Сенгером в зразку кісткового мозку або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РНК транскриптів для визначення експресії генів, соматичних варіантів, варіантів в транскриптомі, злиття генів, включаючи нові злиття, соматичних та гермінальних варіантів перебудов у пацієнтів з онкологічними захворюваннями методом таргетного секвенування наступного покоління (NGS);</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мієлопроліферативними захворюваннями методом таргетного секвенування наступного покоління (NGS);</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ДНК та РНК пацієнтів з мієлопроліферативними захворюваннями методом таргетного секвенування наступного покоління (NGS);</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гені TP53 методом секвенування наступного покоління (NGS)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нейрофіброматозом методом таргетного секвенування наступного покоління (NGS) з використанням Custom-панель NF1_NF2_SPRED1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гермінальних варіантів перебудов у пацієнтів з вродженими анеміями методом таргетного секвенування наступного покоління (NGS) в біологічному зразку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клітин кісткового мозку з фарбуванням GTG-методом;</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лімфоцитів периферичної крові з фарбуванням GTG-методом;</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транслокації 1q23 – 19p13 (TSF3(E2A)-PBX1)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на препараті відбитку пухлини;</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зразку клітин випітної рідини;</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транслокації 15q22 – 17q21.1 (PML-RARα)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периферійної крові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на препараті відбитку пухлини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на препараті відбитку пухлини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(BCR-ABL1) методом флуоресцентної in situ гібридизації для визначення мінімальної залишкової хвороби (MRD) в біологічному зразку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(BCR-BL1)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транслокації 12p13 – 21q22 (TEL/AML1 (ETV6-RUNX1))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клітинах періферійної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8q24 – 14q34 CEP8 (IGH-MYC) методом флуоресцентної in situ гібридизації для визначення мінімальної залишкової хвороби (MRD) в зразку кісткового мозку (на 1000 клітин);</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(3 зонди);</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(4 зонди);</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(6 зондів);</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моніторинг химеризму (центромерні проби на статеві хромосоми) методом флуоресцентної in situ гібридизації(FISH) в зразках кісткового мозку та периферійної крові для різностатевих донора та реципієнта;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кісткового мозку пацієнта;</w:t>
      </w:r>
    </w:p>
    <w:p w:rsidR="00ED2F91" w:rsidRPr="00BE0C42" w:rsidRDefault="00ED2F91" w:rsidP="00ED2F9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периферійної крові пацієнта.</w:t>
      </w:r>
    </w:p>
    <w:p w:rsidR="00ED2F91" w:rsidRDefault="00ED2F91" w:rsidP="00ED2F9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8. Інші дослідження:</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сечі (якісне та кількісне визначення білка, глюкози, кетонових тіл, білірубіну, уробіліну, гемоглобіну/еритроцитів, нітритів (якісне), мікроальбуміну, осмоляльності, лейкоцитів, мікроскопічне дослідження, концентраційна спроможність нирок </w:t>
      </w:r>
      <w:r>
        <w:rPr>
          <w:rFonts w:ascii="Times New Roman" w:hAnsi="Times New Roman"/>
          <w:sz w:val="24"/>
          <w:szCs w:val="24"/>
        </w:rPr>
        <w:lastRenderedPageBreak/>
        <w:t>і добовий діурез за методом Зимницького, кількість формених елементів (лейкоцитів, еритроцитів, циліндрів) в сечі за методом Нечипоренка;</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калу: фізичні властивості, реакція на приховану кров, мікроскопічне дослідження, виявлення яєць гельмінтів, найпростіших, дослідження зі шкрябу з періанальних складок на яйця гостриків;</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кальпротектин, фекальний кальпротектин (кількісний та якісний);</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шлункового та дуоденального вмісту: фізичні властивості, мікроскопічне дослідження, виявлення найпростіших (лямблій);  </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мокротиння: фізичні властивості, мікроскопічне дослідження, виявлення мікобактерій туберкульозу (кислотостійких бактерій);</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спинномозкової рідини: фізичні властивості, мікроскопічне та хімічні дослідження;</w:t>
      </w:r>
    </w:p>
    <w:p w:rsidR="00ED2F91" w:rsidRDefault="00ED2F91" w:rsidP="00ED2F9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випітних рідин (ексудатів, транссудатів): фізичні властивості, мікроскопічне та хімічні дослідження;</w:t>
      </w:r>
    </w:p>
    <w:p w:rsidR="00ED2F91" w:rsidRDefault="00ED2F91" w:rsidP="00ED2F91">
      <w:pPr>
        <w:shd w:val="clear" w:color="auto" w:fill="FFFFFF"/>
        <w:tabs>
          <w:tab w:val="left" w:pos="360"/>
        </w:tabs>
        <w:spacing w:after="240"/>
        <w:ind w:firstLine="567"/>
        <w:jc w:val="both"/>
        <w:rPr>
          <w:rFonts w:ascii="Times New Roman" w:hAnsi="Times New Roman"/>
          <w:sz w:val="24"/>
          <w:szCs w:val="24"/>
        </w:rPr>
      </w:pPr>
      <w:r>
        <w:rPr>
          <w:rFonts w:ascii="Times New Roman" w:hAnsi="Times New Roman"/>
          <w:sz w:val="24"/>
          <w:szCs w:val="24"/>
        </w:rPr>
        <w:t>дослідження синовіальної рідини: фізичні властивості, мікроскопічне та хімічні дослідження.</w:t>
      </w:r>
    </w:p>
    <w:p w:rsidR="00ED2F91" w:rsidRPr="00177720" w:rsidRDefault="00ED2F91" w:rsidP="00ED2F91">
      <w:pPr>
        <w:pBdr>
          <w:top w:val="nil"/>
          <w:left w:val="nil"/>
          <w:bottom w:val="nil"/>
          <w:right w:val="nil"/>
          <w:between w:val="nil"/>
        </w:pBdr>
        <w:shd w:val="clear" w:color="auto" w:fill="FFFFFF"/>
        <w:spacing w:before="480"/>
        <w:ind w:right="-280" w:firstLine="20"/>
        <w:jc w:val="center"/>
        <w:rPr>
          <w:rFonts w:ascii="Times New Roman" w:hAnsi="Times New Roman"/>
          <w:b/>
          <w:color w:val="000000"/>
          <w:sz w:val="24"/>
          <w:szCs w:val="24"/>
          <w:lang w:val="uk-UA"/>
        </w:rPr>
      </w:pPr>
      <w:bookmarkStart w:id="3" w:name="_heading=h.htnq9arg3sxa" w:colFirst="0" w:colLast="0"/>
      <w:bookmarkEnd w:id="3"/>
      <w:r>
        <w:rPr>
          <w:rFonts w:ascii="Times New Roman" w:hAnsi="Times New Roman"/>
          <w:b/>
          <w:color w:val="000000"/>
          <w:sz w:val="24"/>
          <w:szCs w:val="24"/>
        </w:rPr>
        <w:t>Додаток 2. Перелік груп ургентних станів</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9634"/>
      </w:tblGrid>
      <w:tr w:rsidR="00ED2F91" w:rsidTr="004A2751">
        <w:trPr>
          <w:trHeight w:val="285"/>
        </w:trPr>
        <w:tc>
          <w:tcPr>
            <w:tcW w:w="96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Деменція та інші хронічні мозкові синдроми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Делірій</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Інсульт та інші порушення мозкового кровообігу</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ТІА та прецеребральна оклюзія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Судоми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Неврологічні розлади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органів зору</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вуха, носа, рота та горла</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Значні захворювання органів дихання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Хронічна обструктивна хвороба легень</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Астма</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Інфекції верхніх дихальних шляхів</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нижніх дихальних шляхів</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дихання, інше</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Гострі коронарні синдроми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Аритмія і зупинка серця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Серцева недостатність і шок</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грудях</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кровообігу, інше</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кровотеча</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непрохідність</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Перитоніт і перфорація шлунково-кишкового тракту</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Езофагіт і гастроентерит</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животі</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травної системи, інше</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функції печінки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жовчного міхура, жовчовивідних шляхів і підшлункової залози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Кістково-м’язові та м’язово-сухожильні розлади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шкіри та підшкірної клітковини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Захворювання шкіри, інше</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Цукровий діабет</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Метаболічні та аліментарні розлади, інше</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Ниркова недостатність</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Сечові камені та непрохідність</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нирок і сечовивідних шляхів</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нирок і сечовивідних шляхів, інші</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Чоловічі захворювання сечостатевої системи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Гінекологічні розлади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Післяпологовий та післяабортний стан</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Передпологові та інші акушерські стани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імунної системи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функції еритроцитів</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гемостазу</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Новоутворення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Септицемія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Вірусні захворювання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Лихоманка невідомого походження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Інфекційні та паразитарні хвороби, інші</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поведінки, пов’язані з алкоголем та наркотиками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Психози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нейроповедінкові розлади, інші</w:t>
            </w:r>
          </w:p>
        </w:tc>
      </w:tr>
      <w:tr w:rsidR="00ED2F91" w:rsidTr="004A2751">
        <w:trPr>
          <w:trHeight w:val="570"/>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голови, внутрішньочерепної системи, хребта, внутрішніх органів та інші складні травми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тазу і стегна</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вивихи і пошкодження зв'язок</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інші</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Пошкодження пальців рук, ніг і поверхневі травми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Опіки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Отруєння</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Алергічні реакції</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Ускладнення після надання медичної стаціонарної, у т.ч. хірургічної допомоги</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Больовий синдром</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Симптоми, інше</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Жорстоке поводження та зневага</w:t>
            </w:r>
          </w:p>
        </w:tc>
      </w:tr>
      <w:tr w:rsidR="00ED2F91" w:rsidTr="004A2751">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ED2F91" w:rsidRDefault="00ED2F91" w:rsidP="004A2751">
            <w:pPr>
              <w:shd w:val="clear" w:color="auto" w:fill="FFFFFF"/>
              <w:spacing w:before="240" w:after="240"/>
              <w:jc w:val="both"/>
              <w:rPr>
                <w:rFonts w:ascii="Times New Roman" w:hAnsi="Times New Roman"/>
                <w:sz w:val="24"/>
                <w:szCs w:val="24"/>
              </w:rPr>
            </w:pPr>
            <w:r>
              <w:rPr>
                <w:rFonts w:ascii="Times New Roman" w:hAnsi="Times New Roman"/>
                <w:sz w:val="24"/>
                <w:szCs w:val="24"/>
              </w:rPr>
              <w:t>Інші фактори, що впливають на стан здоров'я</w:t>
            </w:r>
          </w:p>
        </w:tc>
      </w:tr>
    </w:tbl>
    <w:p w:rsidR="00ED2F91" w:rsidRDefault="00ED2F91" w:rsidP="00ED2F91">
      <w:pPr>
        <w:pBdr>
          <w:top w:val="nil"/>
          <w:left w:val="nil"/>
          <w:bottom w:val="nil"/>
          <w:right w:val="nil"/>
          <w:between w:val="nil"/>
        </w:pBdr>
        <w:shd w:val="clear" w:color="auto" w:fill="FFFFFF"/>
        <w:spacing w:before="240"/>
        <w:jc w:val="center"/>
        <w:rPr>
          <w:rFonts w:ascii="Times New Roman" w:hAnsi="Times New Roman"/>
          <w:b/>
          <w:color w:val="000000"/>
          <w:sz w:val="24"/>
          <w:szCs w:val="24"/>
        </w:rPr>
      </w:pPr>
      <w:bookmarkStart w:id="4" w:name="_heading=h.cd1jh4bnrvw" w:colFirst="0" w:colLast="0"/>
      <w:bookmarkEnd w:id="4"/>
      <w:r>
        <w:rPr>
          <w:rFonts w:ascii="Times New Roman" w:hAnsi="Times New Roman"/>
          <w:b/>
          <w:color w:val="000000"/>
          <w:sz w:val="24"/>
          <w:szCs w:val="24"/>
        </w:rPr>
        <w:t>Додаток 3.Коди спостережень в ЕСОЗ для лабораторних досліджень</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575"/>
        <w:gridCol w:w="8059"/>
      </w:tblGrid>
      <w:tr w:rsidR="00ED2F91" w:rsidTr="004A2751">
        <w:trPr>
          <w:trHeight w:val="285"/>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Код лоінку</w:t>
            </w:r>
          </w:p>
        </w:tc>
        <w:tc>
          <w:tcPr>
            <w:tcW w:w="805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Назва</w:t>
            </w:r>
          </w:p>
        </w:tc>
      </w:tr>
      <w:tr w:rsidR="00ED2F91" w:rsidTr="004A2751">
        <w:trPr>
          <w:trHeight w:val="285"/>
        </w:trPr>
        <w:tc>
          <w:tcPr>
            <w:tcW w:w="9634"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D2F91" w:rsidRDefault="00ED2F91" w:rsidP="004A2751">
            <w:pPr>
              <w:shd w:val="clear" w:color="auto" w:fill="FFFFFF"/>
              <w:spacing w:before="240"/>
              <w:ind w:left="360"/>
              <w:jc w:val="both"/>
              <w:rPr>
                <w:rFonts w:ascii="Times New Roman" w:hAnsi="Times New Roman"/>
                <w:b/>
                <w:sz w:val="24"/>
                <w:szCs w:val="24"/>
              </w:rPr>
            </w:pPr>
            <w:r>
              <w:rPr>
                <w:rFonts w:ascii="Times New Roman" w:hAnsi="Times New Roman"/>
                <w:b/>
                <w:sz w:val="24"/>
                <w:szCs w:val="24"/>
              </w:rPr>
              <w:t>1.</w:t>
            </w:r>
            <w:r>
              <w:rPr>
                <w:rFonts w:ascii="Times New Roman" w:hAnsi="Times New Roman"/>
                <w:sz w:val="14"/>
                <w:szCs w:val="14"/>
              </w:rPr>
              <w:t xml:space="preserve">     </w:t>
            </w:r>
            <w:r>
              <w:rPr>
                <w:rFonts w:ascii="Times New Roman" w:hAnsi="Times New Roman"/>
                <w:b/>
                <w:sz w:val="24"/>
                <w:szCs w:val="24"/>
              </w:rPr>
              <w:t>Клас «Гематологія»</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71713-2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Піруваткіназа [Ферментативна активність/речовина] в еритроцитах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К [Наявність] на еритроцитах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Еритроцитарні антитіла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Прямий антиглобуліновий тест. поліспецифічний реагент [Наявність] на еритроцитах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1008-2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Непрямий антиглобуліновий тест. поліспецифічний реагент [Наявність]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Метгемоглобін/загальний гемоглобін у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97553-2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Дезоксигемоглобін/гемоглобін загальний у центральній венозній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11559-2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Частка оксигемоглобіну в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3289-6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протромбіну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3198-9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VІІІ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ІХ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3232-6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ХІІ в плазмі, бідній тромбоцитами, за результатами аналізу коагуляції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27818-4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С в плазмі, бідній тромбоцитами, за хромогенним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31102-7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S в плазмі, бідній тромбоцитами, за хромогенним методом</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94555-0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dRVVT/dRVVT. надлишок фосфоліпідів [Співвідношення] в плазмі, бідній тромбоцитами, за допомогою аналізу коагуляції -- після нейтралізації DOAC</w:t>
            </w:r>
          </w:p>
        </w:tc>
      </w:tr>
      <w:tr w:rsidR="00ED2F91" w:rsidTr="004A2751">
        <w:trPr>
          <w:trHeight w:val="5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27810-1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інгібітор плазміну в плазмі, бідній тромбоцитами, за хромогенним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28660-9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плазміноген в плазмі, бідній тромбоцитами, за хромогенним методом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48065-7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Фібрин D-димер FEU [Маса/об’єм] в плазмі, бідній тромбоцитами</w:t>
            </w:r>
          </w:p>
        </w:tc>
      </w:tr>
      <w:tr w:rsidR="00ED2F91" w:rsidTr="004A2751">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ind w:left="360"/>
              <w:jc w:val="both"/>
              <w:rPr>
                <w:rFonts w:ascii="Times New Roman" w:hAnsi="Times New Roman"/>
                <w:b/>
                <w:sz w:val="24"/>
                <w:szCs w:val="24"/>
              </w:rPr>
            </w:pPr>
            <w:r>
              <w:rPr>
                <w:rFonts w:ascii="Times New Roman" w:hAnsi="Times New Roman"/>
                <w:b/>
                <w:sz w:val="24"/>
                <w:szCs w:val="24"/>
              </w:rPr>
              <w:t>2.</w:t>
            </w:r>
            <w:r>
              <w:rPr>
                <w:rFonts w:ascii="Times New Roman" w:hAnsi="Times New Roman"/>
                <w:sz w:val="14"/>
                <w:szCs w:val="14"/>
              </w:rPr>
              <w:t xml:space="preserve">     </w:t>
            </w:r>
            <w:r>
              <w:rPr>
                <w:rFonts w:ascii="Times New Roman" w:hAnsi="Times New Roman"/>
                <w:b/>
                <w:sz w:val="24"/>
                <w:szCs w:val="24"/>
              </w:rPr>
              <w:t>Клас «Біохімія»</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u w:val="single"/>
              </w:rPr>
            </w:pPr>
            <w:hyperlink r:id="rId5">
              <w:r w:rsidRPr="00130D7E">
                <w:rPr>
                  <w:rFonts w:ascii="Times New Roman" w:hAnsi="Times New Roman"/>
                  <w:sz w:val="24"/>
                  <w:szCs w:val="24"/>
                  <w:u w:val="single"/>
                </w:rPr>
                <w:t>16362-6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Аміак [Моль/об’єм] у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u w:val="single"/>
              </w:rPr>
            </w:pPr>
            <w:hyperlink r:id="rId6">
              <w:r w:rsidRPr="00130D7E">
                <w:rPr>
                  <w:rFonts w:ascii="Times New Roman" w:hAnsi="Times New Roman"/>
                  <w:sz w:val="24"/>
                  <w:szCs w:val="24"/>
                  <w:u w:val="single"/>
                </w:rPr>
                <w:t>46099-8</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Кальцій [Маса/об’єм] скоригований на альбумін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14927-8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Тригліцерид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u w:val="single"/>
              </w:rPr>
            </w:pPr>
            <w:hyperlink r:id="rId7">
              <w:r w:rsidRPr="00130D7E">
                <w:rPr>
                  <w:rFonts w:ascii="Times New Roman" w:hAnsi="Times New Roman"/>
                  <w:sz w:val="24"/>
                  <w:szCs w:val="24"/>
                  <w:u w:val="single"/>
                </w:rPr>
                <w:t>14933-6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Урат [Моль/об'єм]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14646-4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Холестерин ліпопротеїнів високої щільності [Моль/об’єм]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22748-8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Холестерин ліпопротеїнів низької щільності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12556-7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Мідь [Маса/об'єм]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5681-2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Марганець [Маса/об'єм]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5722-4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Селен [Маса/об'єм] у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9786-5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шляхом фарбування періодичною кислотою-Шиффа</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11016-3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методом фарбування естеразою. неспецифічний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14798-3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Залізо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2502-3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Насичення залізом [Масова частка]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color w:val="1155CC"/>
                <w:sz w:val="24"/>
                <w:szCs w:val="24"/>
                <w:u w:val="single"/>
              </w:rPr>
            </w:pPr>
            <w:hyperlink r:id="rId8">
              <w:r w:rsidRPr="00130D7E">
                <w:rPr>
                  <w:rFonts w:ascii="Times New Roman" w:hAnsi="Times New Roman"/>
                  <w:sz w:val="24"/>
                  <w:szCs w:val="24"/>
                  <w:u w:val="single"/>
                </w:rPr>
                <w:t>14800-7</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Залізозв'язуюча здатність заліза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[Маса/об'єм] у рідині організму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47600-2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[Моль/об'єм] у рідині організму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2685-6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33781-6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44802-7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спинномозковій рідині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15060-7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83114-9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Кальцій-зв’язуючий протеїн S100B [Маса/об’єм] у сироватці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32554-8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Тіамін [Моль/об'єм]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73723-9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Рибофлавін [Моль/об'єм]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79402-4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Ніацин [Моль/об'єм]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39786-9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Пірідоксін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Аскорбат [Маса/об'єм] у сироватці або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1823-4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Альфа-токоферол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3433-0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Карбомазепін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29529-5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Ацетамінофен [Наявність]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11253-2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Такролімус[Маса/об'єм] в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3793-7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Метотрексат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14334-7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25463-1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8147-1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Амфетаміни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51690-6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Амфетамін [Наявність] у крові скринінговим методом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10338-2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Барбітурати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11024-7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3390-2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18282-4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Канабіноїди [Наявність] у сечі методом скринінгу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3879-4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Опіати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3936-2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Фенциклідин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4086-5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Вальпроат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2077-6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Хлориди [Моль/об'єм] у поті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14920-3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Вільний тироксин (Т4)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14930-2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14928-6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вільний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3013-0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14918-7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[Моль/об'єм]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14866-8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Паратирін (паратиреоїдний гормон)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10501-5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Лютропін [одиниці/об’єм]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1668-3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17-гідроксипрогестерон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Соматотропін [Маса/об'єм]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21198-7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Субодиниця хоріогонадотропіну.бета [Одиниці/об’єм]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1834-1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19176-7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[Одиниці/об'єм]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2250-9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Естріол (Е3) неконьюгований [Маса/об'єм]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47255-5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IN-кінцевий пропептид проколагенового типу [Маса/об’єм]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41171-0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Колаген зчеплений з С-телопептидом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62290-2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1,25-дигідроксивітамін D [Маса/об'єм]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79282-0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Біоптерин/Біоптерин+Неоптерин [Молярне співвідношення]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2676-5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Органічні кислоти [Наявність]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16550-6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Вуглеводи [Ідентифікація]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34466-3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Вуглеводи [Наявність]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2818-3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Порфірини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12467-7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Амінокислоти [Ідентифікація]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16711-4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Цистин+гомоцистин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17492-0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Пролін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Гомогенизат [Наявність]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17752-7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Триптофан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29276-3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Кальцій [Наявність]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32240-4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Фруктоза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33903-6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2309-3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Галактоза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2553-6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Лактоза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2772-2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Фенілпіруват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47100-3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Мідь [Моль/об’єм]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58457-3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Сульфіти [Наявність] у сечі за тест-смужкою</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13964-2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Метилмалонат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26904-3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2-Метилцитрат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13965-9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Гомоцистеїн [Моль/об'єм]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Глікозаміноглікани/креатинін [Масове співвідношення]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2398-6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[Наявність]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u w:val="single"/>
              </w:rPr>
            </w:pPr>
            <w:hyperlink r:id="rId9">
              <w:r w:rsidRPr="00130D7E">
                <w:rPr>
                  <w:rFonts w:ascii="Times New Roman" w:hAnsi="Times New Roman"/>
                  <w:sz w:val="24"/>
                  <w:szCs w:val="24"/>
                  <w:u w:val="single"/>
                </w:rPr>
                <w:t>2399-4</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[Маса/об'єм]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rPr>
            </w:pPr>
            <w:r w:rsidRPr="00130D7E">
              <w:rPr>
                <w:rFonts w:ascii="Times New Roman" w:hAnsi="Times New Roman"/>
                <w:sz w:val="24"/>
                <w:szCs w:val="24"/>
              </w:rPr>
              <w:t>90234-6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Глоботріаозилсфінгозин [Маса/об'єм]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u w:val="single"/>
              </w:rPr>
            </w:pPr>
            <w:hyperlink r:id="rId10">
              <w:r w:rsidRPr="00130D7E">
                <w:rPr>
                  <w:rFonts w:ascii="Times New Roman" w:hAnsi="Times New Roman"/>
                  <w:sz w:val="24"/>
                  <w:szCs w:val="24"/>
                  <w:u w:val="single"/>
                </w:rPr>
                <w:t>38477-6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Pr="00130D7E" w:rsidRDefault="00ED2F91" w:rsidP="004A2751">
            <w:pPr>
              <w:shd w:val="clear" w:color="auto" w:fill="FFFFFF"/>
              <w:spacing w:before="240"/>
              <w:jc w:val="both"/>
              <w:rPr>
                <w:rFonts w:ascii="Times New Roman" w:hAnsi="Times New Roman"/>
                <w:sz w:val="24"/>
                <w:szCs w:val="24"/>
                <w:u w:val="single"/>
              </w:rPr>
            </w:pPr>
            <w:hyperlink r:id="rId11">
              <w:r w:rsidRPr="00130D7E">
                <w:rPr>
                  <w:rFonts w:ascii="Times New Roman" w:hAnsi="Times New Roman"/>
                  <w:sz w:val="24"/>
                  <w:szCs w:val="24"/>
                  <w:u w:val="single"/>
                </w:rPr>
                <w:t>104263-9</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активність/об'єм] у сироватці шляхом LC/MS/MS рідинної хроматографії — мас-спектрометрії</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24061-4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12913-0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23825-3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Бета-N-ацетилгексозамінідаза.А/Бета-н-ацетилгексозамінідаза. загальна кількість лейкоцитів</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Альфа-маннозидаза [Ферментативна активність/маса] в лейкоцитах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24068-9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Бета-маннозидаза [Ферментативна активність/маса] в лейкоцитах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32540-7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активність/маса] в лейкоцитах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Альфа-L-ідуронідаза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24089-5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Ідуронат-2-сульфатаза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24086-1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Гепаран-N-сульфатаза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1837-4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Альфа-N-ацетилглюкозамінідаза [Ферментативна активність/об'єм]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24096-0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N-Ацетилгалактозамін-6-сульфатаза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Кисла сфінгомієліназа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Альфа-галактозидаза А [Ферментативна активність/маса] в лейкоцитах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Альфа-фукозидаза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38355-4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Хітотріозидаза [Ферментативна активність/об’єм]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24078-8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24076-2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24094-5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N-Ацетилгалактозамін-4-сульфатаза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1941-4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активність/об’єм]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24065-5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13962-6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94488-4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Кисла альфа-глюкозидаза [Ферментативна активність/маса] в лейкоцитах підтверджуючим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74935-8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Пальмітоілпротеїнова тіоестераза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76038-9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Трипептидилпептидаза I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82883-0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Лізосомальна кисла ліпаза [Ферментативна активність/маса] в лейкоцитах за 4-MU-пальмітатним субстратом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24084-6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активність/маса] в лейкоцитах</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24044-0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Ацетил-КоА: глюкозамінацетилтрансфераза [Ферментативна активність/маса] в лейкоцитах</w:t>
            </w:r>
          </w:p>
        </w:tc>
      </w:tr>
      <w:tr w:rsidR="00ED2F91" w:rsidTr="004A2751">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ind w:left="360"/>
              <w:jc w:val="both"/>
              <w:rPr>
                <w:rFonts w:ascii="Times New Roman" w:hAnsi="Times New Roman"/>
                <w:sz w:val="24"/>
                <w:szCs w:val="24"/>
              </w:rPr>
            </w:pPr>
            <w:r>
              <w:rPr>
                <w:rFonts w:ascii="Times New Roman" w:hAnsi="Times New Roman"/>
                <w:sz w:val="24"/>
                <w:szCs w:val="24"/>
              </w:rPr>
              <w:t>3.</w:t>
            </w:r>
            <w:r>
              <w:rPr>
                <w:rFonts w:ascii="Times New Roman" w:hAnsi="Times New Roman"/>
                <w:sz w:val="14"/>
                <w:szCs w:val="14"/>
              </w:rPr>
              <w:t xml:space="preserve">     </w:t>
            </w:r>
            <w:r>
              <w:rPr>
                <w:rFonts w:ascii="Times New Roman" w:hAnsi="Times New Roman"/>
                <w:b/>
                <w:sz w:val="24"/>
                <w:szCs w:val="24"/>
              </w:rPr>
              <w:t>Клас «Мікробіологія</w:t>
            </w:r>
            <w:r>
              <w:rPr>
                <w:rFonts w:ascii="Times New Roman" w:hAnsi="Times New Roman"/>
                <w:sz w:val="24"/>
                <w:szCs w:val="24"/>
              </w:rPr>
              <w:t>»</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100897-8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Staphylococcus aureus [Наявність] у зразку, визначення на організм-специфічній культурі</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100899-4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Фенотип резистентності Enterobacteriaceae до бета-лактамази розширеного спектру [Ідентифікація] у матеріалі, визначення на організм-специфічній культурі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100906-7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[#/об'єм] у сечі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101140-2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до Salmonella sр [Наявність] у калі за методом швидкого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10352-3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геніталій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матеріалу з носу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виділень з рани, фарбування за Грамом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104785-1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[Одиниці /об'єм] у сироватці та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105887-4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Adenovirus [Наявність]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106029-2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генітальному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11597-2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13248-0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13294-4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Ванкоміцин-резистентний enterococcus [Наявність] у зразку,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Метицилінрезистентний Staphylococcus aureus [Наявність] у зразку,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color w:val="1155CC"/>
                <w:sz w:val="24"/>
                <w:szCs w:val="24"/>
                <w:u w:val="single"/>
              </w:rPr>
            </w:pPr>
            <w:hyperlink r:id="rId12">
              <w:r w:rsidRPr="00130D7E">
                <w:rPr>
                  <w:rFonts w:ascii="Times New Roman" w:hAnsi="Times New Roman"/>
                  <w:sz w:val="24"/>
                  <w:szCs w:val="24"/>
                  <w:u w:val="single"/>
                </w:rPr>
                <w:t>13953-5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е-антигену вірусу гепатиту В [Наявність ] у сироватці та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14357-8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спинномозкової рідини, фарбування за Грамом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горла/зіву, фарбування за Грамом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14364-4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ока, фарбування за Грамом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вуха, фарбування за Грамом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14478-2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пенісу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16125-7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IgA до Helicobacter pylori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16126-5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16134-9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Neisseria meningitidis [Наявність] у зразку,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16676-9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Corynebacterium diphtheriae [Наявність] у зразку,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16832-8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Ентеротоксичні Escherichia coli ідентифіковані в калі, визначення на організм-специфічній культурі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16937-5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G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17422-7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класів IgG+IgM до Parvovirus B19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17909-3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глибини рани</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628-8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тканині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633-8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у матеріалі з глибини рани</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17928-3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ідентифіковані в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17934-1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ідентифіковані в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19106-4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простого герпесу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20474-3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біопсійній тканині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20879-3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молоці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21406-4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21597-0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Varicella zoster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22128-3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22264-6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22314-9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А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22330-5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22362-8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HTLV I+II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23858-4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спинномозковій рідині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24004-4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24029-1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24114-1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капсидного антигену вірусу Epstein Barr [Наявність]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24312-1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[Наявність] у сироватці шляхом аглютинації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25423-5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25435-9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простого герпесу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25514-1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25542-2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Toxoplasma gondii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26715-3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[Одиниці/об’єм] у сироватці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27414-2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Гриби, виявлені у калі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28549-4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Yersinia sp виявлені в калі,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29248-2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крові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29675-6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29904-0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Toxoplasma gondii [Наявність] у зразку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30340-4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капсидного антигену вірусу Epstein Barr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31204-1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[Наявність ]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31616-6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31844-4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Е-антиген вірусу гепатиту В [Наявність ]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31852-7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31853-5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32026-7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носа, фарбування за Грамом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32286-7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Генотип вірусу гепатиту С [Ідентифікація] у сироватці або плазмі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32365-9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Torque teno [Наявність] у сироватці або плазмі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33464-9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гепатиту D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35283-1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36923-1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[#/об’єм] (вірусне навантаження) у крові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38348-9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6 типа [Ідентифікація] у зразку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40607-4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Ascaris lumbricoides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40987-0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РНК Respiratory syncytial virus [Ідентифікація] у зразку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41026-6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матеріалі з геніталій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41035-7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РНК Norovirus [Наявність]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43307-8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у матеріалі з навколоносових порожнин</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43371-4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Salmonella та Shigella sp, у калі,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44423-2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7 типа [Наявність] у зразку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44508-0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шийці матки</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44981-9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44994-2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B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44995-9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B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45001-5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46198-8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47229-0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спинномозковій рідині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47431-2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49334-6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Adenovirus [#/об’єм] (вірусне навантаження) у сироватці або плазмі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49777-6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G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сечі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зразку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5002-1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крові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5005-4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зразку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50344-1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рідині організму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50346-6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церебральній спинномозковій рідині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50348-2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крові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51458-8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51459-6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Giardia lamblia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51806-8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51807-6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51824-1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С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51914-0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IgM+IgG до ядерного антигену вірусу гепатиту В [Наявність ]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5256-3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[Одиниці/об’єм] у сироватці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color w:val="1155CC"/>
                <w:sz w:val="24"/>
                <w:szCs w:val="24"/>
                <w:u w:val="single"/>
              </w:rPr>
            </w:pPr>
            <w:hyperlink r:id="rId13">
              <w:r w:rsidRPr="00130D7E">
                <w:rPr>
                  <w:rFonts w:ascii="Times New Roman" w:hAnsi="Times New Roman"/>
                  <w:sz w:val="24"/>
                  <w:szCs w:val="24"/>
                  <w:u w:val="single"/>
                </w:rPr>
                <w:t>52973-5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трахеальному аспіраті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5335-5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[Одиниці/об’єм] у сироватці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53911-4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жовчі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синовіальній рідині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5850-3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5854-5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зразку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600-7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вуха</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609-8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ока</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621-3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синовіальній рідині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мокротинні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625-4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калі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6317-2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Bordetella sp, у зразку, визначення на організм-специфічній культурі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рані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6331-3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Campylobacter sp, у калі, визначення на організм-специфічній культурі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6409-7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в трахеальному аспіраті мокротиння</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6461-8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калі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мокротиння, фарбування за Грамом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6561-5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Treponema pallidum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6562-3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доTreponema pallidum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6579-7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Vibrio sp виявлені у калі,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6664-7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тканини, фарбування за Грамом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69938-9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РНК Astrovirus [Наявність] у зразку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74420-1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[Одиниці/об’єм] (вірусне навантаження) у сироватці або плазмі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74816-0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ока</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75269-1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геніталій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7817-0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7818-8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7901-2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IgА до Helicobacter pylori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7970-7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7981-4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8014-3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8040-8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IgМ до Toxoplasma gondii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сироватці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82301-3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Salmonella sp [Наявність] у калі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83065-3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слині (матеріалу з ротової порожнини)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86692-1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РНК ротавірусу A [Наявність] у зразку шляхом ампліфікації НК</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87932-0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навколоносових порожнин</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87961-9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рідині організму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87969-2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крові, фарбування за Грамом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87980-9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матеріалу з навколоносових порожнин</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88586-3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Shigella sp у в калі, визначення на організм-специфічній культурі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90270-0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жовчі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90440-9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BK + вірусу JC [Наявність] у зразку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90460-7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Е [Наявність] у сироватці або плазмі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93840-7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[Одиниці/об’єм] (вірусне навантаження) у крові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94151-8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Бактерії, резистентні до карбапенему, визначення на організм-специфічній культурі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9718-8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[Одиниці/об’єм]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15410-4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Varicella zoster virus [Наявність] у сироватці за результатами імунологічного аналізу</w:t>
            </w:r>
          </w:p>
        </w:tc>
      </w:tr>
      <w:tr w:rsidR="00ED2F91" w:rsidTr="004A2751">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ind w:left="360"/>
              <w:jc w:val="both"/>
              <w:rPr>
                <w:rFonts w:ascii="Times New Roman" w:hAnsi="Times New Roman"/>
                <w:b/>
                <w:sz w:val="24"/>
                <w:szCs w:val="24"/>
              </w:rPr>
            </w:pPr>
            <w:r>
              <w:rPr>
                <w:rFonts w:ascii="Times New Roman" w:hAnsi="Times New Roman"/>
                <w:b/>
                <w:sz w:val="24"/>
                <w:szCs w:val="24"/>
              </w:rPr>
              <w:t>4.</w:t>
            </w:r>
            <w:r>
              <w:rPr>
                <w:rFonts w:ascii="Times New Roman" w:hAnsi="Times New Roman"/>
                <w:sz w:val="14"/>
                <w:szCs w:val="14"/>
              </w:rPr>
              <w:t xml:space="preserve">     </w:t>
            </w:r>
            <w:r>
              <w:rPr>
                <w:rFonts w:ascii="Times New Roman" w:hAnsi="Times New Roman"/>
                <w:b/>
                <w:sz w:val="24"/>
                <w:szCs w:val="24"/>
              </w:rPr>
              <w:t>Клас «Імунологія»</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 8103-4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CD45+CD14+/100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30365-1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Лімфоцити/100 лейкоцитів  крові методом проточної цитометрії (FC)</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90304-7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лімфоцитів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13332-2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CD4+CD25+/100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13343-9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CD4+HLA-DR+/100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CD3+CD8+ (супресор Т8)/100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13337-1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CD8+HLA-DR+/100 клітин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 (хелпери Т4)/клітини CD3+CD8+ (клітини-супресори Т8) [# співвідношення]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CD3+CD25+/100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18408-5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CD3+HLA-DR+/100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34962-1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альфа бета+ /100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38236-6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гамма-дельта+ /100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42189-1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CD3+CD16+CD56+/100 клітин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80700-8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CD25+CD127- (регуляторні Т) клітини/100 CD3+CD4+ клітин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34929-0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34932-4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8117-4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8131-5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CD5+CD19+/100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89358-6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CD27/100 клітин CD19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 /100 лімфоцитів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49841-0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CD19+IgM+/100 клітин  зразку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93353-1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CD64 антиген  [Entitic number] на нейтрофілах методом проточної цитометрії (FC)</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46125-1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кардіоліпіну  [Наявність]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63283-6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мітохондрії M2  [Наявність] у сироватці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42898-7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циклічного цитрулін-вмісткого пептиду [Наявність] у сироватці крові.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54022-9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мутованого цитрулінового виментину [Одиниці/об’єм]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63379-2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дволанцюгової ДНК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10360-6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одноланцюгової ДНК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17355-9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цитоплазматичних структур нейтрофілів [Наявність] у сироватці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тиреоглобуліну [Одиниці/об’єм]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тиреопероксидази [Одиниці/об’єм] у сироватці або плазмі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81787-4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[Наявність] у сироватці або плазмі за результатами імунологічного аналізу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97996-3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[Одиниці/об’єм] у сироватці або плазмі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9443-3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лейкоцитах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20616-9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20617-7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Kappa-ланцюжок  на лімфоцитах/100 лімфоцитів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Lambda-ланцюжок на лімфоцитах/100 лімфоцитів у зразку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32860-9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Альфа-бета-клітини TCR (Т-клітинного рецептору)/100 клітин у зразку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Гамма-дельта-клітини TCR (Т-клітинного рецептору)/100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60346-4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Життєздатні клітини CD34/100 клітин CD34 в рідині організму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33637-0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Фагоцитарний індекс крові за проточною цитометрією (FC)</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26563-7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CD1a/100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CD10/100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77944-7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CD11a/100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32758-5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CD11b/100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21154-0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CD11c/100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20588-0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CD13/100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20589-8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CD14/100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CD15/100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26560-3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CD16/100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CD20/100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CD22/100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32856-7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CD22/100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CD24/100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32495-4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CD25/100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17129-8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CD28/100 клітин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CD30/100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17138-9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CD31/100 клітин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20601-1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CD33/100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CD34/100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20599-7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CD38/100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CD41/100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CD42/100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57402-0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CD42a/100 клітин у рідині організму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77946-2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CD42b/100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33033-2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CD45 позитивні події [#]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17157-9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CD45RA/100 клітин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32744-5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CD55/100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21166-4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CD56/100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32857-5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CD3/100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32601-7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CD59/100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21167-2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CD61/100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32747-8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CD64/100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42933-2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51403-4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CD81/100 клітин у кістковому мозку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17210-6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CD95/100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17214-8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CD99/100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32742-9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CD117/100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80223-1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CD4/100 лімфоцитів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51045-3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CD123 бласти/100 бластів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32750-2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CD235a/100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32751-0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HLA-DR+/100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CD5/100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20612-8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CD7/100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80222-3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CD8/100 лімфоцитів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77947-0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CD9/100 клітин у зразку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32759-3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мієлопероксидазою /100 клітин у зразку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38516-1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Термінальна дезоксинуклеотидилтрансфераза (TdT) в клітинах/100 клітин у зразку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50401-9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Титр антитіл до групи крові [Ідентифікація] у сироватці або плазмі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A1 антиген [Наявність] на еритроцитах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1305-2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D антиген [Наявність] у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 антиген [Наявність] на еритроцитах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1021-5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E антиген [Наявність] на еритроцитах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17196-7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крові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54018-7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лактоферину [Наявність]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85086-7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класуIgG до  Еластази  [наявність] у сироватці за результатами імунологічного аналізу</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A2 Антиген [Наявність] на еритроцитах</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9441-7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лімфоцитів/100 лімфоцитів у лейкоцитах</w:t>
            </w:r>
          </w:p>
        </w:tc>
      </w:tr>
      <w:tr w:rsidR="00ED2F91" w:rsidTr="004A2751">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ind w:left="360"/>
              <w:jc w:val="both"/>
              <w:rPr>
                <w:rFonts w:ascii="Times New Roman" w:hAnsi="Times New Roman"/>
                <w:b/>
                <w:sz w:val="24"/>
                <w:szCs w:val="24"/>
              </w:rPr>
            </w:pPr>
            <w:r>
              <w:rPr>
                <w:rFonts w:ascii="Times New Roman" w:hAnsi="Times New Roman"/>
                <w:b/>
                <w:sz w:val="24"/>
                <w:szCs w:val="24"/>
              </w:rPr>
              <w:t>5.</w:t>
            </w:r>
            <w:r>
              <w:rPr>
                <w:rFonts w:ascii="Times New Roman" w:hAnsi="Times New Roman"/>
                <w:sz w:val="14"/>
                <w:szCs w:val="14"/>
              </w:rPr>
              <w:t xml:space="preserve">     </w:t>
            </w:r>
            <w:r>
              <w:rPr>
                <w:rFonts w:ascii="Times New Roman" w:hAnsi="Times New Roman"/>
                <w:b/>
                <w:sz w:val="24"/>
                <w:szCs w:val="24"/>
              </w:rPr>
              <w:t>Клас «Інші»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104404-9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Цисти Giardia lamblia [Наявність] у калі при мікроскопії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10704-5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виявлені в калі шляхом світлової мікроскопії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10855-5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ідентифіковані в дуоденальній або шлунковій рідині за допомогою світлової мікроскопії</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12235-8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в осаді сечі за допомогою світлової мікроскопії</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15076-3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Глюкоза [Моль/об'єм]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1904-2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Аскорбат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1978-6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Білірубін загальний [Маса/об'єм]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20408-1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Лейкоцити [#/об'єм] в сечі за тест-смужкою</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21482-5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24-годинній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2349-9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Глюкоза [Наявність]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2514-8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 за тест-смужкою</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2695-5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Осмоляльність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2756-5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pH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2887-8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Білок [Наявність]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30003-8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Мікроальбумін [Маса/об'єм] у 24-годинній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3104-7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Уробілін [Маса/об'єм] в сечі</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5780-2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Кристали [Тип] в дуоденальній рідині методом  світлової мікроскопії</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Гемоглобін [Наявність] у сечі за тест-смужкою</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5804-0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 за тест-смужкою</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79403-2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Азот [Моль/об'єм] у сечі</w:t>
            </w:r>
          </w:p>
        </w:tc>
      </w:tr>
      <w:tr w:rsidR="00ED2F91" w:rsidTr="004A2751">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ind w:left="360"/>
              <w:jc w:val="both"/>
              <w:rPr>
                <w:rFonts w:ascii="Times New Roman" w:hAnsi="Times New Roman"/>
                <w:b/>
                <w:sz w:val="24"/>
                <w:szCs w:val="24"/>
              </w:rPr>
            </w:pPr>
            <w:r>
              <w:rPr>
                <w:rFonts w:ascii="Times New Roman" w:hAnsi="Times New Roman"/>
                <w:b/>
                <w:sz w:val="24"/>
                <w:szCs w:val="24"/>
              </w:rPr>
              <w:t>6.</w:t>
            </w:r>
            <w:r>
              <w:rPr>
                <w:rFonts w:ascii="Times New Roman" w:hAnsi="Times New Roman"/>
                <w:sz w:val="14"/>
                <w:szCs w:val="14"/>
              </w:rPr>
              <w:t xml:space="preserve">     </w:t>
            </w:r>
            <w:r>
              <w:rPr>
                <w:rFonts w:ascii="Times New Roman" w:hAnsi="Times New Roman"/>
                <w:b/>
                <w:sz w:val="24"/>
                <w:szCs w:val="24"/>
              </w:rPr>
              <w:t>Генетика</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101224-4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генів PKD1 та PKD2 у крові або тканині методом MLPA (мультиплексної лігазно-залежної ампліфікації зондів)</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101385-3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Аналіз делеції, дуплікації та повний аналіз мутацій гена NF1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101663-3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Т-клітинний гострий лімфобластний лейкоз у крові або тканині методом флюоресцентної гібридизації in situ (FISH)</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101920-7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Таргетні перебудови генів при хронічному лімфоцитарному лейкозі у крові або кістковому мозку методом флюоресцентної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102100-5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В-клітинний гострий лімфобластний лейкоз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102101-3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Гострий мієлоїдний лейкоз у крові або тканині методом флюоресцентної гібридизації in situ (FISH)</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103566-6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Метагеномне секвенування ДНК та РНК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103680-5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Повний аналіз мутацій гена TP53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103726-6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ділянки 20q12/Підраховані клітини у крові або кістковому мозку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103734-0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дисеритропоетичної анемії у зразку методом секвенування</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104169-8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D13S319 у кістковому мозку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13330-6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Тільця Барра [Наявність] у шийці матки методом світлової мікроскопії</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18272-5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РНК [Одиниці/об'єм] у сироватці</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21551-7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21732-3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Тестування мутацій гена RB1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21759-6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Повтори CGG гена FMR1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21782-8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t(12;21)(p13;q22.3)(ETV6,RUNX1)/Загальна кількість клітин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21791-9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t(6;9)(p22;q34)(DEK,NUP214)/Загальна кількість клітин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21793-5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t(8;21)(q22;q22.3)(RUNX1T1,RUNX1)/Загальна кількість клітин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транслокацією t(9;11)(p22;q23)(MLLT3,MLL)/ Загальна кількасть клітин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21800-8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21806-5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21815-6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t(4;11)(q21.3;q23)(AFF1,MLL)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21819-8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21820-6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t(9;11)(p22;q23)(MLLT3,MLL)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21821-4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24475-6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c.20210G&gt;A гена F2 [Генотип]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28005-7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c.677C&gt;T гена MTHFR [Генотип]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28060-2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c.1298A&gt;C гена MTHFR [Генотип] у крові або тканині молекулярно-генетичним методом, Номінальний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29770-5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Каріотип [Ідентифікація] у крові або тканині,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35137-9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MECP2 [Ідентифікація]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35291-4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UBE3A [Ідентифікація] у крові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35359-9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AR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35454-8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Перебудови гена MLL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35645-1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гена NSD1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36917-3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Однобатьківська дисомія хромосом [Ідентифікація] в крові або тканині молекулярно-генетичним методом,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38905-6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Мутації гена MLL перевірені в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42634-6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 1p та 19q [Наявність] у фіксованій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42635-3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Тетрасомія хромосоми 12p [Наявність] у фіксованій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гена 7q31 при ГМЛ/МДС [Ідентифікація]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42714-6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43399-5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Мутація p.Val617Phe гена JAK2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45180-7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хромосоми 1p [Наявність] у крові або тканині молекулярно-генетичним методом </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45267-2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48970-8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ELN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49028-4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Синдроми мікроделецій [Ідентифікація] у крові або тканині методом флуоресцентної гібридизації in situ (FISH),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49039-1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субтеломер [Ідентифікація] у крові або тканині методом флуоресцентної гібридизації in situ (FISH), Номінальний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49492-2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спинномозковій рідині, Описовий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49493-0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крові, Описовий</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49494-8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плевральній рідині,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49706-5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ARSA [Ідентифікація]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49795-8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e1a2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50659-2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хромосом.інтерфаза [Інтерпретація] у кістковому мозку методом флуоресцентної гібридизації in situ (FISH),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51867-0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у крові або тканині методом флуоресцентної гібридизації in situ (FISH)</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52132-8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e1a2/контрольний транскрипт [# Співвідношення]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52757-2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Варіант c.-675 4G+5G гена SERPINE1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54448-6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NPM1 [Ідентифікація]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55135-8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 Виявлені мутації кіназного домену BCR-ABL1 [Ідентифікація] в крові або тканині молекулярно-генетичним методом,  Номінальний</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55147-3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b2a2+b3a2/контрольний транскрипт [# Співвідношення]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55300-8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екзону 12 гена JAK2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57310-5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SRY [Ідентифікація]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57318-8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13+18+21+X+Y у крові або тканині методом флуоресцентної гібридизації in situ (FISH),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58009-2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Мутація p.Trp515 гена MPL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58415-1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Мутація p.Val600Glu гена BRAF [Наявність] у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60279-7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Асоційований варіант rs12979860 гена IL28B [Наявність] у крові або тканині молекулярно-генетичним методом</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62359-5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Метод бендингу хромосом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64083-9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Оцінка метилювання гена MGMT у тканині молекулярно-генетичним методом </w:t>
            </w:r>
          </w:p>
        </w:tc>
      </w:tr>
      <w:tr w:rsidR="00ED2F91" w:rsidTr="004A2751">
        <w:trPr>
          <w:trHeight w:val="135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69380-4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b2a2+b3a2/контрольний транскрипт (Міжнародна шкала)</w:t>
            </w:r>
          </w:p>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 [# Співвідношення]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70111-0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Кількість присутніх хромосом 21 [#] у амніотичній рідині шляхом ампліфікації НК</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70279-5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t(5;17)(q25.1;q21.1)(NPM1,RARA)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70288-6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t(17;19)(q22;p13.3)(HLF,TCF3)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70289-4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Del(1)(p32p32)(STIL,TAL1) [Наявність] у крові або тканині молекулярно-генетичним методом </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70291-0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 [Наявність]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72207-4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t(8;21)(q22;q22.3)(RUNX1T1,RUNX1)/контрольний транскрипт [# Співвідношення]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72209-0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кістковому мозку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72210-8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72214-0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bcr3/контрольний транскрипт [# Співвідношення] у крові або тканині молекулярно-генетичним методом</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72215-7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bcr2/контрольний транскрипт [# Співвідношення]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72216-5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bcr1/контрольний транскрипт [# Співвідношення]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72218-1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t(12;21)(p13;q22.3)(ETV6,RUNX1)/контрольний транскрипт [# Співвідношення]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t(1;19)(q23.3;p13.3)(PBX1,TCF3)/контрольний транскрипт [# Співвідношення]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72313-0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t(4;11)(q21.3;q23)(AFF1,MLL)/контрольний транскрипт [# Співвідношення] у крові або тканині молекулярно-генетичним методом </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72496-3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Двоспіральна ДНК [Маса/об'єм] у зразку</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72654-7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делеції та дуплікації гена SNRPN 15q11 [Ідентифікація] у крові або тканині методом флуоресцентної гібридизації in situ FISH, Номінальний</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72726-3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t(4;14)(p16;q32)(FGFR3,IGH) [Ідентифікація] у крові або тканині методом флуоресцентної гібридизації in situ FISH,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73749-4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хромосоми 4p16.3 [Ідентифікація] у крові або тканині методом флуоресцентної гібридизації in situ (FISH),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73977-1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пов'язаний з раком,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75018-2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e19a2 [Наявність] у крові або тканині молекулярно-генетичним методом </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75384-8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гена PMP22 у крові або тканині методом MLPA (мультиплексної лігазно-залежної ампліфікації зондів)</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77032-1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t(8;14)(q24;q32)(MYC,IGH)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inv(16)(p13.1;q22.1)(MYH11,CBFB)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77038-8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t(14;18)(q32;q21.3)(IGH,BCL2)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77039-6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77040-4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у крові або тканині методом флуоресцентної гібридизації in situ (FISH)</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77041-2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inv(3)(q21;q26.2)+t(3;3)(q21;q26.2)(PSMD2,MECOM)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77042-0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t(6;9)(p22;q34)(DEK,NUP214)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77050-3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гена SUGCT, обмежений відомими сімейними мутаціями,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77174-1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екзону 9 гена CALR [Ідентифікація] у крові або тканині молекулярно-генетичним методом, номінальний</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78207-8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9q34 [Інтерпретація] у крові або тканині методом флуоресцентної гібридизації in situ (FISH),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78219-3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[Наявність]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78224-3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RARA [Інтерпретація] у крові або тканині методом флуоресцентної гібридизації in situ (FISH),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78226-8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[Інтерпретація] у крові або тканині методом флуоресцентної гібридизації in situ (FISH), описовий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78229-2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перебудовами гена MYC/Підраховані клітини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79210-1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79415-6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гена MSH2 у крові або тканині методом MLPA (мультиплексної лігазно-залежної ампліфікації зондів)</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79418-0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екзонів 8 і 9 гена EPCAM у крові або тканині методом MLPA (мультиплексної лігазно-залежної ампліфікації зондів)</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81422-8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екзону 2 гена GATA1 у крові або тканині методом секвенування</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81746-0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17p13.1 у крові або тканині методом флуоресцентної гібридизації in situ (FISH)</w:t>
            </w:r>
          </w:p>
        </w:tc>
      </w:tr>
      <w:tr w:rsidR="00ED2F91" w:rsidTr="004A2751">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81861-7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Каріотип у кістковому мозку</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82243-7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17p13.3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82246-0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хромосомної області 22q11.2 у крові або тканині методом флуоресцентної гібридизації in situ (FISH)</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84912-5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5q31/Підраховані клітини у кістковому мозку методом флуоресцентної гібридизації in situ (FISH)</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84916-6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17p13.1/Підраховані клітини у крові або тканині методом флуоресцентної гібридизації in situ (FISH)</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84921-6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7q31/Підраховані клітини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84922-4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Клітини з моносомією хромосоми 7/Підраховані клітини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87436-2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X та Y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88519-4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c.2447A&gt;T гена KIT [Наявність]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89037-6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дуплікацій та повний аналіз мутацій гена CDKN2A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91712-0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c.1691G&gt;A гена F5 [Генотип] у крові або тканині молекулярно-генетичним методом,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92843-2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Мутації p.Asp835 гена FLT3  [Наявність] у крові або тканині молекулярно-генетичним методом</w:t>
            </w:r>
          </w:p>
        </w:tc>
      </w:tr>
      <w:tr w:rsidR="00ED2F91" w:rsidTr="004A2751">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92844-0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FLT3/до норми [Співвідношення]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92905-9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Кількість копій хромосоми 7 /на ядро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94588-1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Хромосомний аналіз мієлоїдних новоутворень у крові або кістковому мозку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94592-3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Хромосомна перебудова [Ідентифікація]  у крові або тканині методом парного секвенування, номінальний</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95551-8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17p11.2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95553-4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5p15.2 (5p-) [Ідентифікація] у крові або тканині методом флуоресцентної гібридизації in situ (FISH)</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95772-0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генів IDH1 та IDH2 у крові або тканині молекулярно-генетичним методом</w:t>
            </w:r>
          </w:p>
        </w:tc>
      </w:tr>
      <w:tr w:rsidR="00ED2F91" w:rsidTr="004A2751">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97656-3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спадкового раку у крові або тканині молекулярно-генетичним методом</w:t>
            </w:r>
          </w:p>
        </w:tc>
      </w:tr>
      <w:tr w:rsidR="00ED2F91" w:rsidTr="004A2751">
        <w:trPr>
          <w:trHeight w:val="81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99961-5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D2F91" w:rsidRDefault="00ED2F91" w:rsidP="004A2751">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мієлопроліферативних новоутворень у крові або тканині молекулярно-генетичним методом</w:t>
            </w:r>
          </w:p>
        </w:tc>
      </w:tr>
      <w:bookmarkEnd w:id="0"/>
    </w:tbl>
    <w:p w:rsidR="00ED2F91" w:rsidRPr="0044554B" w:rsidRDefault="00ED2F91" w:rsidP="00ED2F91">
      <w:pPr>
        <w:keepNext/>
        <w:keepLines/>
        <w:pBdr>
          <w:top w:val="nil"/>
          <w:left w:val="nil"/>
          <w:bottom w:val="nil"/>
          <w:right w:val="nil"/>
          <w:between w:val="nil"/>
        </w:pBdr>
        <w:shd w:val="clear" w:color="auto" w:fill="FFFFFF"/>
        <w:spacing w:before="240"/>
        <w:jc w:val="both"/>
        <w:rPr>
          <w:rFonts w:ascii="Times New Roman" w:hAnsi="Times New Roman"/>
          <w:i/>
          <w:color w:val="000000"/>
          <w:sz w:val="24"/>
          <w:szCs w:val="24"/>
          <w:lang w:val="uk-UA"/>
        </w:rPr>
      </w:pPr>
    </w:p>
    <w:p w:rsidR="00ED2F91" w:rsidRDefault="00ED2F91" w:rsidP="00ED2F91">
      <w:pPr>
        <w:pBdr>
          <w:top w:val="nil"/>
          <w:left w:val="nil"/>
          <w:bottom w:val="nil"/>
          <w:right w:val="nil"/>
          <w:between w:val="nil"/>
        </w:pBdr>
        <w:spacing w:line="240" w:lineRule="auto"/>
        <w:ind w:right="40"/>
        <w:jc w:val="center"/>
        <w:rPr>
          <w:rFonts w:ascii="Times New Roman" w:hAnsi="Times New Roman"/>
          <w:b/>
          <w:sz w:val="24"/>
          <w:szCs w:val="24"/>
        </w:rPr>
      </w:pPr>
      <w:bookmarkStart w:id="5" w:name="_GoBack"/>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r>
        <w:rPr>
          <w:rFonts w:ascii="Times New Roman" w:hAnsi="Times New Roman"/>
          <w:b/>
          <w:sz w:val="24"/>
          <w:szCs w:val="24"/>
        </w:rPr>
        <w:t>оговором (Специфікація)</w:t>
      </w:r>
    </w:p>
    <w:bookmarkEnd w:id="5"/>
    <w:p w:rsidR="00ED2F91" w:rsidRDefault="00ED2F91" w:rsidP="00ED2F91">
      <w:pPr>
        <w:pBdr>
          <w:top w:val="nil"/>
          <w:left w:val="nil"/>
          <w:bottom w:val="nil"/>
          <w:right w:val="nil"/>
          <w:between w:val="nil"/>
        </w:pBdr>
        <w:spacing w:line="240" w:lineRule="auto"/>
        <w:ind w:right="40"/>
        <w:jc w:val="both"/>
        <w:rPr>
          <w:rFonts w:ascii="Times New Roman" w:hAnsi="Times New Roman"/>
          <w:sz w:val="24"/>
          <w:szCs w:val="24"/>
        </w:rPr>
      </w:pPr>
    </w:p>
    <w:p w:rsidR="00ED2F91"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r>
        <w:rPr>
          <w:rFonts w:ascii="Times New Roman" w:hAnsi="Times New Roman"/>
          <w:sz w:val="24"/>
          <w:szCs w:val="24"/>
        </w:rPr>
        <w:t>оговору надавач медичних послуг зобов’язується забезпечити наступний обсяг послуги (специфікація) відповідно до потреб пацієнта:</w:t>
      </w:r>
      <w:bookmarkStart w:id="6" w:name="_heading=h.30j0zll"/>
      <w:bookmarkEnd w:id="6"/>
    </w:p>
    <w:p w:rsidR="00ED2F91"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lang w:val="uk-UA"/>
        </w:rPr>
        <w:t xml:space="preserve">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color w:val="000000"/>
          <w:sz w:val="24"/>
          <w:szCs w:val="24"/>
          <w:lang w:val="uk-UA"/>
        </w:rPr>
        <w:t xml:space="preserve">1. </w:t>
      </w:r>
      <w:r w:rsidRPr="009A0A74">
        <w:rPr>
          <w:rFonts w:ascii="Times New Roman" w:hAnsi="Times New Roman"/>
          <w:color w:val="000000"/>
          <w:sz w:val="24"/>
          <w:szCs w:val="24"/>
        </w:rPr>
        <w:t>Надання пацієнту/пацієнтці консультативно-діагностичної, лікувально-профілактичної спеціалізованої медичної допомоги та послуг у галузі охорони здоров’я (Сервіс «Консультування та лікування») за такими класами: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1.1. Кардіологія – </w:t>
      </w:r>
      <w:r w:rsidRPr="009A0A74">
        <w:rPr>
          <w:rFonts w:ascii="Times New Roman" w:hAnsi="Times New Roman"/>
          <w:color w:val="000000"/>
          <w:sz w:val="24"/>
          <w:szCs w:val="24"/>
        </w:rPr>
        <w:t>консультування, діагностика, оцінювання, спостереження, лікування</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хвороб серця, серцевої недостатності, гіпертензії, хвороби серцевих клапанів, хвороби коронарних судин, проблем з серцевою електрофізіологією, а також консультування пацієнтів після проведення інструментальних досліджень та досліджень з візуалізації (УЗД, МРТ, КТ-ангіогра</w:t>
      </w:r>
      <w:r w:rsidRPr="009A0A74">
        <w:rPr>
          <w:rFonts w:ascii="Times New Roman" w:hAnsi="Times New Roman"/>
          <w:sz w:val="24"/>
          <w:szCs w:val="24"/>
        </w:rPr>
        <w:t>фії</w:t>
      </w:r>
      <w:r w:rsidRPr="009A0A74">
        <w:rPr>
          <w:rFonts w:ascii="Times New Roman" w:hAnsi="Times New Roman"/>
          <w:color w:val="000000"/>
          <w:sz w:val="24"/>
          <w:szCs w:val="24"/>
        </w:rPr>
        <w:t xml:space="preserve"> коронарних судин), проведення оперативних втручань на клапанах серця, встановлення штучних трансплантантів коронарних судин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1.2. Неврологія – </w:t>
      </w:r>
      <w:r w:rsidRPr="009A0A74">
        <w:rPr>
          <w:rFonts w:ascii="Times New Roman" w:hAnsi="Times New Roman"/>
          <w:color w:val="000000"/>
          <w:sz w:val="24"/>
          <w:szCs w:val="24"/>
        </w:rPr>
        <w:t>консультування, діагностика, оцінювання, лікування розладів нервової системи, зокрема деменції, інсульту/транзиторної ішемічної атаки, рухових розладів, розсіяного склерозу, периферичної нейропатії, епілепсії, а також нейроонкологічних станів.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 Пульмонологія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легенів, плевральної порожнини, бронхів, трахеї, верхніх дихальних шляхів, нервів і дихальних м’язів.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1.4. Гастроентерологія </w:t>
      </w:r>
      <w:r w:rsidRPr="009A0A74">
        <w:rPr>
          <w:rFonts w:ascii="Times New Roman" w:hAnsi="Times New Roman"/>
          <w:color w:val="000000"/>
          <w:sz w:val="24"/>
          <w:szCs w:val="24"/>
        </w:rPr>
        <w:t>– консультування, діагностика, оцінювання, лікування захворювань шлунку та кишечника.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1.5. Ендокринологія </w:t>
      </w:r>
      <w:r w:rsidRPr="009A0A74">
        <w:rPr>
          <w:rFonts w:ascii="Times New Roman" w:hAnsi="Times New Roman"/>
          <w:color w:val="000000"/>
          <w:sz w:val="24"/>
          <w:szCs w:val="24"/>
        </w:rPr>
        <w:t>– менеджмент цукрового діабету, включаючи гестаційний діабет, захворювань щитовидної залози, ускладнень клімаксу, інших захворювань ендокринних залоз, а також консультації з таких послуг: інсулінотерапія, оцінювання та лікування коморбідних захворювань, асоційованих з цукровим діабетом, введення ліків, використання обладнання та приладів, консультування пацієнтів та їх навчання щодо розпізнавання ускладнень та лікування побічних ефектів.</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1.6. Нефрологія </w:t>
      </w:r>
      <w:r w:rsidRPr="009A0A74">
        <w:rPr>
          <w:rFonts w:ascii="Times New Roman" w:hAnsi="Times New Roman"/>
          <w:color w:val="000000"/>
          <w:sz w:val="24"/>
          <w:szCs w:val="24"/>
        </w:rPr>
        <w:t>– консультування, діагностика, оцінювання, лікування гострих пошкоджень нирок, хронічної хвороби нирок, гіпертензії та порушень водно-електролітного балансу. Навчання пацієнтів та їх підтримка у випадках, коли діаліз не проводиться; супровід та медикаментозна терапія пацієнтів після трансплантації нирки, а також супровід та медикаментозна терапія донорів в післяопераційному періоді.</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1.7. Гематологія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крові, тромбозом, зокрема внаслідок хвороб та розладів системи кровообігу.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 xml:space="preserve">1.8. Імунологія </w:t>
      </w:r>
      <w:r w:rsidRPr="009A0A74">
        <w:rPr>
          <w:rFonts w:ascii="Times New Roman" w:hAnsi="Times New Roman"/>
          <w:color w:val="000000"/>
          <w:sz w:val="24"/>
          <w:szCs w:val="24"/>
        </w:rPr>
        <w:t>– консультування, діагностика, оцінювання, лікування системних аутоімунних захворювань, системного васкуліту, системних запальних захворювань, алергії, імунодефіциту.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1.9. Інфекційні та паразитарні хвороби –</w:t>
      </w:r>
      <w:r w:rsidRPr="009A0A74">
        <w:rPr>
          <w:rFonts w:ascii="Times New Roman" w:hAnsi="Times New Roman"/>
          <w:color w:val="000000"/>
          <w:sz w:val="24"/>
          <w:szCs w:val="24"/>
        </w:rPr>
        <w:t xml:space="preserve"> консультування, діагностика, оцінювання, лікування заразних за походженням захворювань, спричинених мікроорганізмами, зокрема нозокоміальними (госпітальними) мікроорганізмами або ендогенною мікрофлорою з носа та горла, шкіри чи кишечника. Включає консультування з приводу лікування латентної туберкульозної інфекції, а також обстеження контактних щодо туберкульозу осіб; діагностику та лікування гепатиту В і С; захворювань, що передаються статевим шляхом (ЗПСШ), навчання щодо лікування основного захворювання та ускладнень, пов’язаних з лікуванням.</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Педіатрія</w:t>
      </w:r>
      <w:r w:rsidRPr="009A0A74">
        <w:rPr>
          <w:rFonts w:ascii="Times New Roman" w:hAnsi="Times New Roman"/>
          <w:color w:val="000000"/>
          <w:sz w:val="24"/>
          <w:szCs w:val="24"/>
        </w:rPr>
        <w:t xml:space="preserve"> – консультування, діагностика, оцінювання, лікування всіх типів захворювань немовлят, дітей і підлітків.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дитини,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Спостереження за дітьми з різними вадами розвитку</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та орфанними захворюванням</w:t>
      </w:r>
      <w:r w:rsidRPr="009A0A74">
        <w:rPr>
          <w:rFonts w:ascii="Times New Roman" w:hAnsi="Times New Roman"/>
          <w:color w:val="000000"/>
          <w:sz w:val="24"/>
          <w:szCs w:val="24"/>
        </w:rPr>
        <w:t xml:space="preserve">и – консультування та лікування дітей із затримкою фізичного та інтелектуального розвитку, </w:t>
      </w:r>
      <w:r w:rsidRPr="009A0A74">
        <w:rPr>
          <w:rFonts w:ascii="Times New Roman" w:hAnsi="Times New Roman"/>
          <w:sz w:val="24"/>
          <w:szCs w:val="24"/>
        </w:rPr>
        <w:t>надання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послуги з катамнестичного спостереження. </w:t>
      </w:r>
      <w:r w:rsidRPr="009A0A74">
        <w:rPr>
          <w:rFonts w:ascii="Times New Roman" w:hAnsi="Times New Roman"/>
          <w:color w:val="000000"/>
          <w:sz w:val="24"/>
          <w:szCs w:val="24"/>
        </w:rPr>
        <w:t>Включає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Дерматологія – </w:t>
      </w:r>
      <w:r w:rsidRPr="009A0A74">
        <w:rPr>
          <w:rFonts w:ascii="Times New Roman" w:hAnsi="Times New Roman"/>
          <w:color w:val="000000"/>
          <w:sz w:val="24"/>
          <w:szCs w:val="24"/>
        </w:rPr>
        <w:t>консультування, діагностика, оцінювання, лікування хвороб шкіри.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Ревматологія – </w:t>
      </w:r>
      <w:r w:rsidRPr="009A0A74">
        <w:rPr>
          <w:rFonts w:ascii="Times New Roman" w:hAnsi="Times New Roman"/>
          <w:color w:val="000000"/>
          <w:sz w:val="24"/>
          <w:szCs w:val="24"/>
        </w:rPr>
        <w:t>консультування, діагностика, оцінювання, лікування запалень суглобів і м'яких тканин, захворювань сполучної тканини, артритів, аутоімунних станів,  захворювань хребта (спондилоартрит), післятравматичних ушкоджень м'язів і суглобів.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Метаболічні ураження кісток </w:t>
      </w:r>
      <w:r w:rsidRPr="009A0A74">
        <w:rPr>
          <w:rFonts w:ascii="Times New Roman" w:hAnsi="Times New Roman"/>
          <w:color w:val="000000"/>
          <w:sz w:val="24"/>
          <w:szCs w:val="24"/>
        </w:rPr>
        <w:t>– консультування, діагностика, оцінювання, лікування метаболічних уражень кісток (остеопорозу, остеомаляції, рахіту, гіпопаратиреозу, фіброзної остеодистрофії,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Генетика</w:t>
      </w:r>
      <w:r w:rsidRPr="009A0A74">
        <w:rPr>
          <w:rFonts w:ascii="Times New Roman" w:hAnsi="Times New Roman"/>
          <w:color w:val="000000"/>
          <w:sz w:val="24"/>
          <w:szCs w:val="24"/>
        </w:rPr>
        <w:t xml:space="preserve"> – консультування, діагностика, оцінювання, лікування спадкових та/або генетичних розладів, включаючи пренатальну діагностику (крім обстежень, визначених специфікаціями пакету «Ведення вагітності в амбулаторних умовах»).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Геріатрія</w:t>
      </w:r>
      <w:r w:rsidRPr="009A0A74">
        <w:rPr>
          <w:rFonts w:ascii="Times New Roman" w:hAnsi="Times New Roman"/>
          <w:color w:val="000000"/>
          <w:sz w:val="24"/>
          <w:szCs w:val="24"/>
        </w:rPr>
        <w:t xml:space="preserve"> – консультування, діагностика, оцінювання, лікування осіб похилого віку (старше 65 років) зі складними медичними потребами та коморбідними станами.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Психіатрія – </w:t>
      </w:r>
      <w:r w:rsidRPr="009A0A74">
        <w:rPr>
          <w:rFonts w:ascii="Times New Roman" w:hAnsi="Times New Roman"/>
          <w:color w:val="000000"/>
          <w:sz w:val="24"/>
          <w:szCs w:val="24"/>
        </w:rPr>
        <w:t>консультування, діагностика, оцінювання, лікування пацієнтів із розладами психіки та поведінки.  Включає навчання пацієнта/пацієнтки та/або його/її законних представників з метою покращення їх знань, усвідомлення та розуміння хвороби, а також надання рекомендацій із запобігання розвитку загострення хвороби.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Медицина залежності – </w:t>
      </w:r>
      <w:r w:rsidRPr="009A0A74">
        <w:rPr>
          <w:rFonts w:ascii="Times New Roman" w:hAnsi="Times New Roman"/>
          <w:color w:val="000000"/>
          <w:sz w:val="24"/>
          <w:szCs w:val="24"/>
        </w:rPr>
        <w:t xml:space="preserve">консультування, діагностика, оцінювання, лікування, реабілітація пацієнтів із залежністю від наркотиків, алкоголю та інших речовин. Включає </w:t>
      </w:r>
      <w:r w:rsidRPr="009A0A74">
        <w:rPr>
          <w:rFonts w:ascii="Times New Roman" w:hAnsi="Times New Roman"/>
          <w:color w:val="000000"/>
          <w:sz w:val="24"/>
          <w:szCs w:val="24"/>
        </w:rPr>
        <w:lastRenderedPageBreak/>
        <w:t xml:space="preserve">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Анестезіологія</w:t>
      </w:r>
      <w:r w:rsidRPr="009A0A74">
        <w:rPr>
          <w:rFonts w:ascii="Times New Roman" w:hAnsi="Times New Roman"/>
          <w:color w:val="000000"/>
          <w:sz w:val="24"/>
          <w:szCs w:val="24"/>
        </w:rPr>
        <w:t xml:space="preserve"> – огляд пацієнтів, яким заплановано оперативне втручання, зокрема оцінювання анестезіологічного ризику, отримання інформованої згоди, якщо дане обстеження проводиться до госпіталізації пацієнта за даним пакетом (за сервісом «Процедури» для класу «Амбулаторна хірургія», «Анестезіологічне забезпечення», «Інтервенційна візуалізація») або за пакетом медичних послуг «Хірургічні операції дорослим та дітям в умовах стаціонару одного дня».</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Онкологія </w:t>
      </w:r>
      <w:r w:rsidRPr="009A0A74">
        <w:rPr>
          <w:rFonts w:ascii="Times New Roman" w:hAnsi="Times New Roman"/>
          <w:color w:val="000000"/>
          <w:sz w:val="24"/>
          <w:szCs w:val="24"/>
        </w:rPr>
        <w:t>– консультування, діагностика, лікування, спостереження за пацієнтами з онкологічними захворюваннями.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Онкогінекологія </w:t>
      </w:r>
      <w:r w:rsidRPr="009A0A74">
        <w:rPr>
          <w:rFonts w:ascii="Times New Roman" w:hAnsi="Times New Roman"/>
          <w:color w:val="000000"/>
          <w:sz w:val="24"/>
          <w:szCs w:val="24"/>
        </w:rPr>
        <w:t>– консультування, спостереження за пацієнтками до та/або після лікування злоякісних новоутворень репродуктивного тракту, включаючи шийку матки, ендометрій, маткові труби, яєчники, матку та піхву, скринінг гінекологічних злоякісних новоутворень. Включає навчання пацієнтки з метою покращення 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Стани, пов’язані з ураженнями молочної залози – </w:t>
      </w:r>
      <w:r w:rsidRPr="009A0A74">
        <w:rPr>
          <w:rFonts w:ascii="Times New Roman" w:hAnsi="Times New Roman"/>
          <w:color w:val="000000"/>
          <w:sz w:val="24"/>
          <w:szCs w:val="24"/>
        </w:rPr>
        <w:t>консультація, діагностика, та лікування уражень молочної залози. Надання всіх послуг, пов'язаних з хірургічним втручанням при діагностованих злоякісних і незлоякісних захворюваннях молочної залози. Включає навчання пацієнтів з метою покращення їх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 консультація, діагностика і лікування пацієнтів, які потребують загальних хірургічних втручань, і тих, хто потребує післяопераційного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1.24.</w:t>
      </w:r>
      <w:r w:rsidRPr="009A0A74">
        <w:rPr>
          <w:rFonts w:ascii="Times New Roman" w:hAnsi="Times New Roman"/>
          <w:color w:val="000000"/>
          <w:sz w:val="24"/>
          <w:szCs w:val="24"/>
        </w:rPr>
        <w:t xml:space="preserve">   </w:t>
      </w:r>
      <w:r w:rsidRPr="009A0A74">
        <w:rPr>
          <w:rFonts w:ascii="Times New Roman" w:hAnsi="Times New Roman"/>
          <w:i/>
          <w:sz w:val="24"/>
          <w:szCs w:val="24"/>
        </w:rPr>
        <w:t>Стани, пов'язані з ураженнями гепатобіліарної системи</w:t>
      </w:r>
      <w:r w:rsidRPr="009A0A74">
        <w:rPr>
          <w:rFonts w:ascii="Times New Roman" w:hAnsi="Times New Roman"/>
          <w:i/>
          <w:color w:val="000000"/>
          <w:sz w:val="24"/>
          <w:szCs w:val="24"/>
        </w:rPr>
        <w:t xml:space="preserve"> – </w:t>
      </w:r>
      <w:r w:rsidRPr="009A0A74">
        <w:rPr>
          <w:rFonts w:ascii="Times New Roman" w:hAnsi="Times New Roman"/>
          <w:color w:val="000000"/>
          <w:sz w:val="24"/>
          <w:szCs w:val="24"/>
        </w:rPr>
        <w:t>до- та післяхірургічне консультування, діагностика, лікування хвороб печінки та жовчовивідної системи, включаючи проведення мінімальних інвазивних процедур, а також лікування травми печінки та жовчовивідних шляхів за потреби.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Педіатрична хірургія</w:t>
      </w:r>
      <w:r w:rsidRPr="009A0A74">
        <w:rPr>
          <w:rFonts w:ascii="Times New Roman" w:hAnsi="Times New Roman"/>
          <w:color w:val="000000"/>
          <w:sz w:val="24"/>
          <w:szCs w:val="24"/>
        </w:rPr>
        <w:t xml:space="preserve"> – консультування, діагностика, спостереження, лікування дітей з опіками, хворобами очей, вух і носа, переломами, ортопедичними проблемами, станами після проведення хірургічних втручань з приводу неврологічних проблем, операцій на органах грудної клітки.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Нейрохірургія</w:t>
      </w:r>
      <w:r w:rsidRPr="009A0A74">
        <w:rPr>
          <w:rFonts w:ascii="Times New Roman" w:hAnsi="Times New Roman"/>
          <w:color w:val="000000"/>
          <w:sz w:val="24"/>
          <w:szCs w:val="24"/>
        </w:rPr>
        <w:t xml:space="preserve"> – до- та післяхірургічне консультування, діагностика та лікування пацієнтів з розладами будь-якої частини нервової системи, зокрема мозку, хребта, спинного мозку, периферичних нервів та екстракраніальної цереброваскулярної системи.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Кардіоторакальна хірургія </w:t>
      </w:r>
      <w:r w:rsidRPr="009A0A74">
        <w:rPr>
          <w:rFonts w:ascii="Times New Roman" w:hAnsi="Times New Roman"/>
          <w:color w:val="000000"/>
          <w:sz w:val="24"/>
          <w:szCs w:val="24"/>
        </w:rPr>
        <w:t>– до- та післяхірургічне консультування, діагностика, лікування пацієнтів з хворобами серця та легенів.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Пластична та реконструктивна хірургія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до- та післяхірургічне консультування, пов’язане з відновленням, реконструкцією, виправленням або покращенням форми та зовнішнього вигляду структур тіла, які є дефектними, пошкодженими чи деформованими внаслідок травми, хвороби чи вроджених дефектів, зокрема операції на молочні залозі, операції з приводу щілини губи та щілини піднебіння, хірургічне видалення судинних родимок, вроджених гемангіом, рубців, лікування раку шкіри, хірургія кисті, щелепно-лицева хірургія, тощо. Включає навчання пацієнта/пацієнтки з метою покращення його/її знань, </w:t>
      </w:r>
      <w:r w:rsidRPr="009A0A74">
        <w:rPr>
          <w:rFonts w:ascii="Times New Roman" w:hAnsi="Times New Roman"/>
          <w:color w:val="000000"/>
          <w:sz w:val="24"/>
          <w:szCs w:val="24"/>
        </w:rPr>
        <w:lastRenderedPageBreak/>
        <w:t>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Судинна хірургія </w:t>
      </w:r>
      <w:r w:rsidRPr="009A0A74">
        <w:rPr>
          <w:rFonts w:ascii="Times New Roman" w:hAnsi="Times New Roman"/>
          <w:color w:val="000000"/>
          <w:sz w:val="24"/>
          <w:szCs w:val="24"/>
        </w:rPr>
        <w:t>– консультація, обстеження, огляд та оцінка пацієнтів до та після хірургічного втручання, проведення спеціальної (оклюзійної) медикаментозної терапії, інвазивних хірургічних процедур.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Офтальмологія </w:t>
      </w:r>
      <w:r w:rsidRPr="009A0A74">
        <w:rPr>
          <w:rFonts w:ascii="Times New Roman" w:hAnsi="Times New Roman"/>
          <w:color w:val="000000"/>
          <w:sz w:val="24"/>
          <w:szCs w:val="24"/>
        </w:rPr>
        <w:t>– консультація, діагностика, огляд, лікування станів, пов’язаних із захворюваннями очей, зору і придаткового апарата, а також послуги, пов’язані з втручаннями на оці.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Оториноларингологія </w:t>
      </w:r>
      <w:r w:rsidRPr="009A0A74">
        <w:rPr>
          <w:rFonts w:ascii="Times New Roman" w:hAnsi="Times New Roman"/>
          <w:color w:val="000000"/>
          <w:sz w:val="24"/>
          <w:szCs w:val="24"/>
        </w:rPr>
        <w:t>– консультування, діагностика, оцінювання, лікування пацієнтів із ЛОР захворюваннями, зокрема ведення їх до та/або після операції.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Урологія </w:t>
      </w:r>
      <w:r w:rsidRPr="009A0A74">
        <w:rPr>
          <w:rFonts w:ascii="Times New Roman" w:hAnsi="Times New Roman"/>
          <w:color w:val="000000"/>
          <w:sz w:val="24"/>
          <w:szCs w:val="24"/>
        </w:rPr>
        <w:t>– консультування, діагностика, оцінювання, лікування пацієнтів із захворюваннями сечовивідних шляхів та сечостатевої системи, пацієнтів до та після проведення простатектомії чи інших урологічних операцій.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Гінекологія </w:t>
      </w:r>
      <w:r w:rsidRPr="009A0A74">
        <w:rPr>
          <w:rFonts w:ascii="Times New Roman" w:hAnsi="Times New Roman"/>
          <w:color w:val="000000"/>
          <w:sz w:val="24"/>
          <w:szCs w:val="24"/>
        </w:rPr>
        <w:t>– консультування, діагностика, лікування та спостереження за пацієнтами з проблемами/розладами, пов’язаними з жіночими репродуктивними органами. Включає навчання пацієнт</w:t>
      </w:r>
      <w:r w:rsidRPr="009A0A74">
        <w:rPr>
          <w:rFonts w:ascii="Times New Roman" w:hAnsi="Times New Roman"/>
          <w:sz w:val="24"/>
          <w:szCs w:val="24"/>
        </w:rPr>
        <w:t>ок</w:t>
      </w:r>
      <w:r w:rsidRPr="009A0A74">
        <w:rPr>
          <w:rFonts w:ascii="Times New Roman" w:hAnsi="Times New Roman"/>
          <w:color w:val="000000"/>
          <w:sz w:val="24"/>
          <w:szCs w:val="24"/>
        </w:rPr>
        <w:t xml:space="preserve"> з метою покращення їх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Лікування опіків – </w:t>
      </w:r>
      <w:r w:rsidRPr="009A0A74">
        <w:rPr>
          <w:rFonts w:ascii="Times New Roman" w:hAnsi="Times New Roman"/>
          <w:color w:val="000000"/>
          <w:sz w:val="24"/>
          <w:szCs w:val="24"/>
        </w:rPr>
        <w:t>консультування, обстеження, спеціалізоване лікування пацієнтів з опіками.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черепа, обличчя та щелепно-лицьової зони</w:t>
      </w:r>
      <w:r w:rsidRPr="009A0A74">
        <w:rPr>
          <w:rFonts w:ascii="Times New Roman" w:hAnsi="Times New Roman"/>
          <w:color w:val="000000"/>
          <w:sz w:val="24"/>
          <w:szCs w:val="24"/>
        </w:rPr>
        <w:t xml:space="preserve"> – до- або післяопераційне консультування, діагностика, спостереження та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Ортопедія</w:t>
      </w:r>
      <w:r w:rsidRPr="009A0A74">
        <w:rPr>
          <w:rFonts w:ascii="Times New Roman" w:hAnsi="Times New Roman"/>
          <w:color w:val="000000"/>
          <w:sz w:val="24"/>
          <w:szCs w:val="24"/>
        </w:rPr>
        <w:t xml:space="preserve"> – консультування та хірургічні втручання для збереження та відновлення функції кісткової системи, її суглобів і пов'язаних структур.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Мультидисцплінарні консиліуми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організована заздалегідь зустріч для детального обговорення та координації лікування пацієнта, що проводиться одночасно щонайменше </w:t>
      </w:r>
      <w:r w:rsidRPr="009A0A74">
        <w:rPr>
          <w:rFonts w:ascii="Times New Roman" w:hAnsi="Times New Roman"/>
          <w:sz w:val="24"/>
          <w:szCs w:val="24"/>
        </w:rPr>
        <w:t>трьома лікарями-спеціалістами різних спеціалізацій</w:t>
      </w:r>
      <w:r w:rsidRPr="009A0A74">
        <w:rPr>
          <w:rFonts w:ascii="Times New Roman" w:hAnsi="Times New Roman"/>
          <w:color w:val="000000"/>
          <w:sz w:val="24"/>
          <w:szCs w:val="24"/>
        </w:rPr>
        <w:t>. Консиліум може включати обговорення окремого пацієнта або кількох пацієнтів, при цьому мультидисциплінарний консиліум гарантує, що потреби пацієнта в міждисциплінарній допомозі задовольняються за допомогою спланованого та скоординованого підходу.</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Аудіологія –</w:t>
      </w:r>
      <w:r w:rsidRPr="009A0A74">
        <w:rPr>
          <w:rFonts w:ascii="Times New Roman" w:hAnsi="Times New Roman"/>
          <w:color w:val="000000"/>
          <w:sz w:val="24"/>
          <w:szCs w:val="24"/>
        </w:rPr>
        <w:t xml:space="preserve"> консультації з наступних послуг: перевірки слуху, функціонування внутрішнього вуха, проведення загальних та спеціальних слухових скринінгових тестів.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Терапія з використанням фізичних та інших агентів</w:t>
      </w:r>
      <w:r w:rsidRPr="009A0A74">
        <w:rPr>
          <w:rFonts w:ascii="Times New Roman" w:hAnsi="Times New Roman"/>
          <w:color w:val="000000"/>
          <w:sz w:val="24"/>
          <w:szCs w:val="24"/>
        </w:rPr>
        <w:t xml:space="preserve">, зокрема лікування за допомогою  апаратної терапії (електролікування, магнітолікування, водолікування тощо) пацієнтів з травмами.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1.40.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Психологія</w:t>
      </w:r>
      <w:r w:rsidRPr="009A0A74">
        <w:rPr>
          <w:rFonts w:ascii="Times New Roman" w:hAnsi="Times New Roman"/>
          <w:color w:val="000000"/>
          <w:sz w:val="24"/>
          <w:szCs w:val="24"/>
        </w:rPr>
        <w:t xml:space="preserve"> – оцінка, діагностика та лікування психологічних розладів, пов’язаних зі станами, що впливають на мозок, включає послуги: (а) оцінювання природи когнітивних, поведінкових та емоційних змін, які могли статися внаслідок розвитку набутих або дегенеративних станів, травми головного мозку, (б) оцінювання впливу вищевказаних змін на </w:t>
      </w:r>
      <w:r w:rsidRPr="009A0A74">
        <w:rPr>
          <w:rFonts w:ascii="Times New Roman" w:hAnsi="Times New Roman"/>
          <w:color w:val="000000"/>
          <w:sz w:val="24"/>
          <w:szCs w:val="24"/>
        </w:rPr>
        <w:lastRenderedPageBreak/>
        <w:t>спосіб життя, (в) когнітивне тестування, (г) когнітивну терапію та психосоціальне консультування. Включає навчання пацієнта/пацієнтки з метою покращення його/її знань, усвідомлення та розуміння свого стану, а також надання рекомендацій із запобігання розвитку погіршення проявів психологічних розладів.</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2.</w:t>
      </w:r>
      <w:r w:rsidRPr="009A0A74">
        <w:rPr>
          <w:rFonts w:ascii="Times New Roman" w:hAnsi="Times New Roman"/>
          <w:sz w:val="24"/>
          <w:szCs w:val="24"/>
        </w:rPr>
        <w:t xml:space="preserve"> </w:t>
      </w:r>
      <w:r w:rsidRPr="009A0A74">
        <w:rPr>
          <w:rFonts w:ascii="Times New Roman" w:hAnsi="Times New Roman"/>
          <w:color w:val="000000"/>
          <w:sz w:val="24"/>
          <w:szCs w:val="24"/>
        </w:rPr>
        <w:t>Проведення діагностично-лікувальних інтервенційних процедур та малих оперативних втручань (Сервіс «Процедури») за такими класами: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2.1. Ендоскопія гастроінтестінальна</w:t>
      </w:r>
      <w:r w:rsidRPr="009A0A74">
        <w:rPr>
          <w:rFonts w:ascii="Times New Roman" w:hAnsi="Times New Roman"/>
          <w:color w:val="000000"/>
          <w:sz w:val="24"/>
          <w:szCs w:val="24"/>
        </w:rPr>
        <w:t xml:space="preserve"> – обстеження та лікування за допомогою ендоскопа.</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2.2. Ендоскопія урологічна/гінекологічна </w:t>
      </w:r>
      <w:r w:rsidRPr="009A0A74">
        <w:rPr>
          <w:rFonts w:ascii="Times New Roman" w:hAnsi="Times New Roman"/>
          <w:color w:val="000000"/>
          <w:sz w:val="24"/>
          <w:szCs w:val="24"/>
        </w:rPr>
        <w:t>– обстеження та лікування за допомогою ендоскопа.</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2.3. Ендоскопія ортопедична </w:t>
      </w:r>
      <w:r w:rsidRPr="009A0A74">
        <w:rPr>
          <w:rFonts w:ascii="Times New Roman" w:hAnsi="Times New Roman"/>
          <w:color w:val="000000"/>
          <w:sz w:val="24"/>
          <w:szCs w:val="24"/>
        </w:rPr>
        <w:t>– обстеження та лікування за допомогою ендоскопа.</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2.4. Ендоскопія органів дихання та ЛОР-органів </w:t>
      </w:r>
      <w:r w:rsidRPr="009A0A74">
        <w:rPr>
          <w:rFonts w:ascii="Times New Roman" w:hAnsi="Times New Roman"/>
          <w:color w:val="000000"/>
          <w:sz w:val="24"/>
          <w:szCs w:val="24"/>
        </w:rPr>
        <w:t>– обстеження та лікування за допомогою ендоскопа.</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2.5. Гіпербарична терапія – </w:t>
      </w:r>
      <w:r w:rsidRPr="009A0A74">
        <w:rPr>
          <w:rFonts w:ascii="Times New Roman" w:hAnsi="Times New Roman"/>
          <w:color w:val="000000"/>
          <w:sz w:val="24"/>
          <w:szCs w:val="24"/>
        </w:rPr>
        <w:t>проведення сеансів гіпербаричної кисневої терапії.</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2.6. Інтервенційна візуалізація</w:t>
      </w:r>
      <w:r w:rsidRPr="009A0A74">
        <w:rPr>
          <w:rFonts w:ascii="Times New Roman" w:hAnsi="Times New Roman"/>
          <w:color w:val="000000"/>
          <w:sz w:val="24"/>
          <w:szCs w:val="24"/>
        </w:rPr>
        <w:t xml:space="preserve"> – діагностики та лікування захворювань шляхом виконання процедур, із застосуванням катетерів, введених через артерію чи вену із одночасним проведенням рентгенівської, магнітної або ультразвукової візуалізації.</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2.7. Амбулаторна хірургія</w:t>
      </w:r>
      <w:r w:rsidRPr="009A0A74">
        <w:rPr>
          <w:rFonts w:ascii="Times New Roman" w:hAnsi="Times New Roman"/>
          <w:color w:val="000000"/>
          <w:sz w:val="24"/>
          <w:szCs w:val="24"/>
        </w:rPr>
        <w:t xml:space="preserve"> – проведення малих хірургічних втручань, які не вимагають госпіталізації пацієнта, в спеціально облаштованих приміщеннях/операційних залах з наданням або без надання послуг з анестезії.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2.8. Медичні процедури</w:t>
      </w:r>
      <w:r w:rsidRPr="009A0A74">
        <w:rPr>
          <w:rFonts w:ascii="Times New Roman" w:hAnsi="Times New Roman"/>
          <w:color w:val="000000"/>
          <w:sz w:val="24"/>
          <w:szCs w:val="24"/>
        </w:rPr>
        <w:t xml:space="preserve"> – проведення медичних процедур, які не вимагають загального наркозу та не є частиною інших спеціалізованих медичних консультацій або інтервенцій, включають інфузії, люмбальну пункцію, тонкоголкову біопсію,  аспірацію, біопсію кісткового мозку, венесекцію, вакцинацію тощо.</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2.9. Менеджмент болю </w:t>
      </w:r>
      <w:r w:rsidRPr="009A0A74">
        <w:rPr>
          <w:rFonts w:ascii="Times New Roman" w:hAnsi="Times New Roman"/>
          <w:color w:val="000000"/>
          <w:sz w:val="24"/>
          <w:szCs w:val="24"/>
        </w:rPr>
        <w:t>– проведення втручань для лікування болю у пацієнтів із тривалим болем середнього та сильного ступеня. Включає методи інтервенційної анестезії, стимуляцію спинного мозку, ін'єкції в суглоби, радіочастотну денервацію, симпатектомію, селективні блокади нервових корінців, епідуральні ін'єкції, кріотерапію, менеджмент систем інтратекального введення ліків.</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2.10. Анестезіологічне забезпечення - </w:t>
      </w:r>
      <w:r w:rsidRPr="009A0A74">
        <w:rPr>
          <w:rFonts w:ascii="Times New Roman" w:hAnsi="Times New Roman"/>
          <w:color w:val="000000"/>
          <w:sz w:val="24"/>
          <w:szCs w:val="24"/>
        </w:rPr>
        <w:t>анестезіологічне забезпечення під час виконання болісних інвазивних діагностичних та інших лікувальних процедур.</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2.11. </w:t>
      </w:r>
      <w:r w:rsidRPr="009A0A74">
        <w:rPr>
          <w:rFonts w:ascii="Times New Roman" w:hAnsi="Times New Roman"/>
          <w:i/>
          <w:sz w:val="24"/>
          <w:szCs w:val="24"/>
        </w:rPr>
        <w:t>Радіаційна терапія</w:t>
      </w:r>
      <w:r w:rsidRPr="009A0A74">
        <w:rPr>
          <w:rFonts w:ascii="Times New Roman" w:hAnsi="Times New Roman"/>
          <w:sz w:val="24"/>
          <w:szCs w:val="24"/>
        </w:rPr>
        <w:t xml:space="preserve"> - лікування методом променевої терапії, що  передбачає використання рентгенівських променів, радіоактивних речовин та інших форм променевої терапії для лікування пухлинних та непухлинних захворювань.</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3.</w:t>
      </w:r>
      <w:r w:rsidRPr="009A0A74">
        <w:rPr>
          <w:rFonts w:ascii="Times New Roman" w:hAnsi="Times New Roman"/>
          <w:color w:val="000000"/>
          <w:sz w:val="24"/>
          <w:szCs w:val="24"/>
          <w:lang w:val="uk-UA"/>
        </w:rPr>
        <w:t xml:space="preserve"> </w:t>
      </w:r>
      <w:r w:rsidRPr="009A0A74">
        <w:rPr>
          <w:rFonts w:ascii="Times New Roman" w:hAnsi="Times New Roman"/>
          <w:color w:val="000000"/>
          <w:sz w:val="24"/>
          <w:szCs w:val="24"/>
        </w:rPr>
        <w:t>Проведення діагностичних інструментальних досліджень (Сервіс «Інструментальна діагностика»), за такими класами: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3.1. Магнітно-резонансна томографія.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3.2. Комп’ютерна томографія.</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3.3. Рентгенологічні дослідження.</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3.4. Ультразвукове дослідження</w:t>
      </w:r>
      <w:r w:rsidRPr="009A0A74">
        <w:rPr>
          <w:rFonts w:ascii="Times New Roman" w:hAnsi="Times New Roman"/>
          <w:color w:val="000000"/>
          <w:sz w:val="24"/>
          <w:szCs w:val="24"/>
        </w:rPr>
        <w:t>.</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3.5. Клінічні інструментальні дослідження (</w:t>
      </w:r>
      <w:r w:rsidRPr="009A0A74">
        <w:rPr>
          <w:rFonts w:ascii="Times New Roman" w:hAnsi="Times New Roman"/>
          <w:color w:val="000000"/>
          <w:sz w:val="24"/>
          <w:szCs w:val="24"/>
        </w:rPr>
        <w:t>оцінка уродинаміки, моніторинг рухливості стравоходу та pH, оцінювання функції дихання, тести на визначення легеневої функції, спірометрія, дослідження сну, стрес-електрокардіограма (ЕКГ), електроенцефалограма (ЕЕГ), електроміограма (ЕМГ), спеціалізовані кардіологічні дослідження (включаючи послуги холтерівського монітору), нейрофізіологічні, нейропсихологічні дослідження, тощо).</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3.6. </w:t>
      </w:r>
      <w:r w:rsidRPr="009A0A74">
        <w:rPr>
          <w:rFonts w:ascii="Times New Roman" w:hAnsi="Times New Roman"/>
          <w:i/>
          <w:sz w:val="24"/>
          <w:szCs w:val="24"/>
        </w:rPr>
        <w:t>Ядерна медицина.</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4. Проведення та/або організація проведення необхідних лабораторних досліджень (Сервіс “Лабораторна діагностика”) за такими класами: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4.1. Клас «Гематологія» </w:t>
      </w:r>
      <w:r w:rsidRPr="009A0A74">
        <w:rPr>
          <w:rFonts w:ascii="Times New Roman" w:hAnsi="Times New Roman"/>
          <w:color w:val="000000"/>
          <w:sz w:val="24"/>
          <w:szCs w:val="24"/>
        </w:rPr>
        <w:t xml:space="preserve"> - проведення гематологічних досліджень (гемоглобін та його сполуки, клітини крові, кістковий мозок) (Додаток 1, пункт 1, коди спостережень в ЕСОЗ у додатку 3, пункт 1).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4.2. Клас «Біохімія»</w:t>
      </w:r>
      <w:r w:rsidRPr="009A0A74">
        <w:rPr>
          <w:rFonts w:ascii="Times New Roman" w:hAnsi="Times New Roman"/>
          <w:color w:val="000000"/>
          <w:sz w:val="24"/>
          <w:szCs w:val="24"/>
        </w:rPr>
        <w:t xml:space="preserve"> - проведення біохімічних досліджень (Додаток 1, пункт 2, коди спостережень в ЕСОЗ у додатку 3, пункт 2).</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4.3.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«Мікробіологія»</w:t>
      </w:r>
      <w:r w:rsidRPr="009A0A74">
        <w:rPr>
          <w:rFonts w:ascii="Times New Roman" w:hAnsi="Times New Roman"/>
          <w:color w:val="000000"/>
          <w:sz w:val="24"/>
          <w:szCs w:val="24"/>
        </w:rPr>
        <w:t xml:space="preserve"> - проведення мікробіологічних досліджень (Додаток 1, пункт 3, коди спостережень в ЕСОЗ у додатку 3, пункт 3).</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4.4. Клас  «Імунологія»</w:t>
      </w:r>
      <w:r w:rsidRPr="009A0A74">
        <w:rPr>
          <w:rFonts w:ascii="Times New Roman" w:hAnsi="Times New Roman"/>
          <w:color w:val="000000"/>
          <w:sz w:val="24"/>
          <w:szCs w:val="24"/>
        </w:rPr>
        <w:t xml:space="preserve"> - проведення імунологічних досліджень (Додаток 1, пункт 4, коди спостережень в ЕСОЗ у додатку 3, пункт 4).</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4.5. Клас «Тканинна патологія»</w:t>
      </w:r>
      <w:r w:rsidRPr="009A0A74">
        <w:rPr>
          <w:rFonts w:ascii="Times New Roman" w:hAnsi="Times New Roman"/>
          <w:color w:val="000000"/>
          <w:sz w:val="24"/>
          <w:szCs w:val="24"/>
        </w:rPr>
        <w:t xml:space="preserve"> - проведення гістологічних досліджень (Додаток 1, пункт 5).</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4.6. Клас «Цитологія»</w:t>
      </w:r>
      <w:r w:rsidRPr="009A0A74">
        <w:rPr>
          <w:rFonts w:ascii="Times New Roman" w:hAnsi="Times New Roman"/>
          <w:color w:val="000000"/>
          <w:sz w:val="24"/>
          <w:szCs w:val="24"/>
        </w:rPr>
        <w:t xml:space="preserve"> - проведення цитологічних досліджень (Додаток 1, пункт 6).</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4.7. Клас  «Генетика»</w:t>
      </w:r>
      <w:r w:rsidRPr="009A0A74">
        <w:rPr>
          <w:rFonts w:ascii="Times New Roman" w:hAnsi="Times New Roman"/>
          <w:color w:val="000000"/>
          <w:sz w:val="24"/>
          <w:szCs w:val="24"/>
        </w:rPr>
        <w:t xml:space="preserve"> - проведення генетичних досліджень (Додаток 1, пункт 7, коди спостережень в ЕСОЗ у додатку 3, пункт 6).</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«Інші дослідження»</w:t>
      </w:r>
      <w:r w:rsidRPr="009A0A74">
        <w:rPr>
          <w:rFonts w:ascii="Times New Roman" w:hAnsi="Times New Roman"/>
          <w:color w:val="000000"/>
          <w:sz w:val="24"/>
          <w:szCs w:val="24"/>
        </w:rPr>
        <w:t xml:space="preserve"> (Додаток 1, пункт 8, коди спостережень в ЕСОЗ у додатку 3, пункт 5).</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5. </w:t>
      </w:r>
      <w:r w:rsidRPr="009A0A74">
        <w:rPr>
          <w:rFonts w:ascii="Times New Roman" w:hAnsi="Times New Roman"/>
          <w:color w:val="000000"/>
          <w:sz w:val="24"/>
          <w:szCs w:val="24"/>
        </w:rPr>
        <w:t>Призначення та/або корекція медикаментозного лікування.</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6</w:t>
      </w:r>
      <w:r w:rsidRPr="009A0A74">
        <w:rPr>
          <w:rFonts w:ascii="Times New Roman" w:hAnsi="Times New Roman"/>
          <w:color w:val="000000"/>
          <w:sz w:val="24"/>
          <w:szCs w:val="24"/>
        </w:rPr>
        <w:t>.  Динамічне спостереження за пацієнтом/пацієнткою із хронічними захворюваннями.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7</w:t>
      </w:r>
      <w:r w:rsidRPr="009A0A74">
        <w:rPr>
          <w:rFonts w:ascii="Times New Roman" w:hAnsi="Times New Roman"/>
          <w:color w:val="000000"/>
          <w:sz w:val="24"/>
          <w:szCs w:val="24"/>
        </w:rPr>
        <w:t xml:space="preserve">.  Надання медичної допомоги в умовах денного стаціонару. </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8</w:t>
      </w:r>
      <w:r w:rsidRPr="009A0A74">
        <w:rPr>
          <w:rFonts w:ascii="Times New Roman" w:hAnsi="Times New Roman"/>
          <w:color w:val="000000"/>
          <w:sz w:val="24"/>
          <w:szCs w:val="24"/>
        </w:rPr>
        <w:t>. Організація своєчасного знеболення на всіх етапах діагностики та лікування: обов’язкове анестезіологічне забезпечення під час виконання всіх інвазивних діагностичних та інших лікувальних процедур.</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9.  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10. Оформлення довідок, формування медичних висновків про тимчасову непрацездатність та спрямування пацієнта/пацієнтки на оцінювання повсякденного функціонування особи лікарями експертної комісії з оцінювання повсякденного функціонування особи.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11. 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12. Направлення пацієнта/пацієнтки за наявності показань для надання спеціалізованої медичної допомоги </w:t>
      </w:r>
      <w:r w:rsidRPr="009A0A74">
        <w:rPr>
          <w:rFonts w:ascii="Times New Roman" w:hAnsi="Times New Roman"/>
          <w:sz w:val="24"/>
          <w:szCs w:val="24"/>
        </w:rPr>
        <w:t>у</w:t>
      </w:r>
      <w:r w:rsidRPr="009A0A74">
        <w:rPr>
          <w:rFonts w:ascii="Times New Roman" w:hAnsi="Times New Roman"/>
          <w:color w:val="000000"/>
          <w:sz w:val="24"/>
          <w:szCs w:val="24"/>
        </w:rPr>
        <w:t xml:space="preserve"> стаціонарних умовах та послуг з реабілітації.</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13. Надання результатів обстежень з візуалізації (рентгенологічні обстеження, комп’ютерна томографія, магнітно-резонансна томографія) на електронному носії пацієнта (диску) </w:t>
      </w:r>
      <w:r w:rsidRPr="009A0A74">
        <w:rPr>
          <w:rFonts w:ascii="Times New Roman" w:hAnsi="Times New Roman"/>
          <w:sz w:val="24"/>
          <w:szCs w:val="24"/>
        </w:rPr>
        <w:t>у</w:t>
      </w:r>
      <w:r w:rsidRPr="009A0A74">
        <w:rPr>
          <w:rFonts w:ascii="Times New Roman" w:hAnsi="Times New Roman"/>
          <w:color w:val="000000"/>
          <w:sz w:val="24"/>
          <w:szCs w:val="24"/>
        </w:rPr>
        <w:t xml:space="preserve"> разі потреби.</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14. Забезпечення надання медичної допомоги методами і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color w:val="000000"/>
          <w:sz w:val="24"/>
          <w:szCs w:val="24"/>
          <w:lang w:val="uk-UA"/>
        </w:rPr>
      </w:pPr>
      <w:r w:rsidRPr="009A0A74">
        <w:rPr>
          <w:rFonts w:ascii="Times New Roman" w:hAnsi="Times New Roman"/>
          <w:color w:val="000000"/>
          <w:sz w:val="24"/>
          <w:szCs w:val="24"/>
        </w:rPr>
        <w:t>15.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b/>
          <w:i/>
          <w:color w:val="000000"/>
          <w:sz w:val="24"/>
          <w:szCs w:val="24"/>
          <w:lang w:val="uk-UA"/>
        </w:rPr>
      </w:pPr>
      <w:r w:rsidRPr="009A0A74">
        <w:rPr>
          <w:rFonts w:ascii="Times New Roman" w:hAnsi="Times New Roman"/>
          <w:b/>
          <w:i/>
          <w:color w:val="000000"/>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ED2F91" w:rsidRPr="009A0A74" w:rsidRDefault="00ED2F91" w:rsidP="00ED2F91">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ED2F91" w:rsidRPr="009A0A74" w:rsidRDefault="00ED2F91" w:rsidP="00ED2F91">
      <w:pPr>
        <w:pStyle w:val="ab"/>
        <w:numPr>
          <w:ilvl w:val="0"/>
          <w:numId w:val="2"/>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Надання цілодобової медичної допомоги пацієнту/пацієнтці у приймальному відділенні/відділенні екстреної та невідкладної допомоги/травмпункті. </w:t>
      </w:r>
    </w:p>
    <w:p w:rsidR="00ED2F91" w:rsidRPr="009A0A74" w:rsidRDefault="00ED2F91" w:rsidP="00ED2F91">
      <w:pPr>
        <w:pStyle w:val="ab"/>
        <w:pBdr>
          <w:top w:val="nil"/>
          <w:left w:val="nil"/>
          <w:bottom w:val="nil"/>
          <w:right w:val="nil"/>
          <w:between w:val="nil"/>
        </w:pBdr>
        <w:spacing w:line="240" w:lineRule="auto"/>
        <w:ind w:left="567" w:right="40"/>
        <w:jc w:val="both"/>
        <w:rPr>
          <w:rFonts w:ascii="Times New Roman" w:hAnsi="Times New Roman"/>
        </w:rPr>
      </w:pPr>
    </w:p>
    <w:p w:rsidR="00ED2F91" w:rsidRPr="009A0A74" w:rsidRDefault="00ED2F91" w:rsidP="00ED2F91">
      <w:pPr>
        <w:pStyle w:val="ab"/>
        <w:numPr>
          <w:ilvl w:val="0"/>
          <w:numId w:val="2"/>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Цілодобове проведення лабораторних досліджень, зокрема: </w:t>
      </w:r>
    </w:p>
    <w:p w:rsidR="00ED2F91" w:rsidRPr="009A0A74" w:rsidRDefault="00ED2F91" w:rsidP="00ED2F91">
      <w:pPr>
        <w:pStyle w:val="ab"/>
        <w:pBdr>
          <w:top w:val="nil"/>
          <w:left w:val="nil"/>
          <w:bottom w:val="nil"/>
          <w:right w:val="nil"/>
          <w:between w:val="nil"/>
        </w:pBdr>
        <w:spacing w:line="240" w:lineRule="auto"/>
        <w:ind w:left="567" w:right="40"/>
        <w:jc w:val="both"/>
        <w:rPr>
          <w:rFonts w:ascii="Times New Roman" w:hAnsi="Times New Roman"/>
        </w:rPr>
      </w:pP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розгорнутий клінічний аналіз крові;</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визначення групи крові і резус-фактора;</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біохімічний аналіз крові (загальний білок, альбумін, альфа-амілаза, аспартатамінотрансфераза (АсАТ), аланінамінотрансфераза (АлАТ), білірубін і його фракції (загальний, прямий, непрямий), креатинін, сечовина, електроліти: калій, кальцій, хлор, натрій, магній; лужна фосфатаза, лактатдегідрогеназа,);  гама-глутамілтранспептидаза; креатинфосфокіназа загальна (КФК); креатинфосфокиназа-МВ;</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lastRenderedPageBreak/>
        <w:t>гострофазові показники: С-реактивний білок (CРБ), прокальцитонін);</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коагуляційний гемостаз (тромбіновий час, активований частковий (парціальний) тромбопластиновий час (АЧТЧ, АПТЧ), фібриноген, міжнародне нормалізоване відношення (МНВ), D-димер);</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 тест на тропонін;</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глюкоза в цільній крові або сироватці крові;</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загальний аналіз сечі;</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кал на приховану кров; </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швидкі тести;</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лабораторні дослідження відповідно до галузевих стандартів.</w:t>
      </w:r>
    </w:p>
    <w:p w:rsidR="00ED2F91" w:rsidRPr="009A0A74" w:rsidRDefault="00ED2F91" w:rsidP="00ED2F91">
      <w:pPr>
        <w:pStyle w:val="ab"/>
        <w:pBdr>
          <w:top w:val="nil"/>
          <w:left w:val="nil"/>
          <w:bottom w:val="nil"/>
          <w:right w:val="nil"/>
          <w:between w:val="nil"/>
        </w:pBdr>
        <w:spacing w:line="240" w:lineRule="auto"/>
        <w:ind w:left="0" w:right="40" w:firstLine="567"/>
        <w:jc w:val="both"/>
        <w:rPr>
          <w:rFonts w:ascii="Times New Roman" w:hAnsi="Times New Roman"/>
        </w:rPr>
      </w:pPr>
    </w:p>
    <w:p w:rsidR="00ED2F91" w:rsidRPr="009A0A74" w:rsidRDefault="00ED2F91" w:rsidP="00ED2F91">
      <w:pPr>
        <w:pStyle w:val="ab"/>
        <w:numPr>
          <w:ilvl w:val="0"/>
          <w:numId w:val="2"/>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Цілодобове проведення інструментальних досліджень, зокрема:</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рентгенологічні дослідження, зокрема, комп’ютерна томографія (зокрема з внутрішньовенним контрастуванням);</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магнітно-резонансна томографія (зокрема з внутрішньовенним контрастуванням);</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ультразвукові дослідження, зокрема, із проведенням доплерографії;</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ендоскопічні дослідження;</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електрокардіографія (ЕКГ);</w:t>
      </w:r>
    </w:p>
    <w:p w:rsidR="00ED2F91" w:rsidRPr="009A0A74" w:rsidRDefault="00ED2F91" w:rsidP="00ED2F9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інструментальні дослідження відповідно до галузевих стандартів у сфері охорони здоров</w:t>
      </w:r>
      <w:r w:rsidRPr="009A0A74">
        <w:rPr>
          <w:rFonts w:ascii="Times New Roman" w:hAnsi="Times New Roman"/>
        </w:rPr>
        <w:t>’я</w:t>
      </w:r>
      <w:r w:rsidRPr="009A0A74">
        <w:rPr>
          <w:rFonts w:ascii="Times New Roman" w:hAnsi="Times New Roman"/>
          <w:color w:val="000000"/>
        </w:rPr>
        <w:t>.</w:t>
      </w:r>
    </w:p>
    <w:p w:rsidR="0077347B" w:rsidRDefault="0077347B"/>
    <w:sectPr w:rsidR="0077347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3081E"/>
    <w:multiLevelType w:val="multilevel"/>
    <w:tmpl w:val="ED2676F4"/>
    <w:lvl w:ilvl="0">
      <w:start w:val="1"/>
      <w:numFmt w:val="decimal"/>
      <w:suff w:val="space"/>
      <w:lvlText w:val="%1."/>
      <w:lvlJc w:val="left"/>
      <w:pPr>
        <w:ind w:left="720" w:hanging="360"/>
      </w:pPr>
      <w:rPr>
        <w:rFonts w:hint="default"/>
        <w:u w:val="none"/>
      </w:rPr>
    </w:lvl>
    <w:lvl w:ilvl="1">
      <w:start w:val="1"/>
      <w:numFmt w:val="lowerLetter"/>
      <w:suff w:val="space"/>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suff w:val="space"/>
      <w:lvlText w:val="%4."/>
      <w:lvlJc w:val="left"/>
      <w:pPr>
        <w:ind w:left="5747"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 w15:restartNumberingAfterBreak="0">
    <w:nsid w:val="246335AF"/>
    <w:multiLevelType w:val="multilevel"/>
    <w:tmpl w:val="F3F4971C"/>
    <w:lvl w:ilvl="0">
      <w:start w:val="1"/>
      <w:numFmt w:val="decimal"/>
      <w:suff w:val="space"/>
      <w:lvlText w:val="%1."/>
      <w:lvlJc w:val="left"/>
      <w:pPr>
        <w:ind w:left="720" w:hanging="360"/>
      </w:pPr>
      <w:rPr>
        <w:rFonts w:hint="default"/>
      </w:rPr>
    </w:lvl>
    <w:lvl w:ilvl="1">
      <w:start w:val="1"/>
      <w:numFmt w:val="decimal"/>
      <w:suff w:val="space"/>
      <w:lvlText w:val="%2)"/>
      <w:lvlJc w:val="left"/>
      <w:pPr>
        <w:ind w:left="1779" w:hanging="360"/>
      </w:pPr>
      <w:rPr>
        <w:rFonts w:hint="default"/>
        <w:b w:val="0"/>
        <w:bCs w:val="0"/>
        <w:color w:val="auto"/>
      </w:rPr>
    </w:lvl>
    <w:lvl w:ilvl="2">
      <w:start w:val="1"/>
      <w:numFmt w:val="decimal"/>
      <w:suff w:val="space"/>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7621C42"/>
    <w:multiLevelType w:val="hybridMultilevel"/>
    <w:tmpl w:val="8668D03A"/>
    <w:lvl w:ilvl="0" w:tplc="04220019">
      <w:start w:val="1"/>
      <w:numFmt w:val="lowerLetter"/>
      <w:lvlText w:val="%1."/>
      <w:lvlJc w:val="left"/>
      <w:pPr>
        <w:ind w:left="720" w:hanging="360"/>
      </w:pPr>
    </w:lvl>
    <w:lvl w:ilvl="1" w:tplc="DF008CBE">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5422D0"/>
    <w:multiLevelType w:val="multilevel"/>
    <w:tmpl w:val="6B447E38"/>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suff w:val="space"/>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 w15:restartNumberingAfterBreak="0">
    <w:nsid w:val="576C1461"/>
    <w:multiLevelType w:val="multilevel"/>
    <w:tmpl w:val="B1D02366"/>
    <w:lvl w:ilvl="0">
      <w:start w:val="1"/>
      <w:numFmt w:val="decimal"/>
      <w:suff w:val="space"/>
      <w:lvlText w:val="%1."/>
      <w:lvlJc w:val="left"/>
      <w:pPr>
        <w:ind w:left="720" w:hanging="360"/>
      </w:pPr>
      <w:rPr>
        <w:rFonts w:ascii="Times New Roman" w:eastAsia="Times New Roman" w:hAnsi="Times New Roman" w:cs="Times New Roman"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 w15:restartNumberingAfterBreak="0">
    <w:nsid w:val="77FE10B1"/>
    <w:multiLevelType w:val="hybridMultilevel"/>
    <w:tmpl w:val="D1C2B204"/>
    <w:lvl w:ilvl="0" w:tplc="04220019">
      <w:start w:val="1"/>
      <w:numFmt w:val="lowerLetter"/>
      <w:lvlText w:val="%1."/>
      <w:lvlJc w:val="left"/>
      <w:pPr>
        <w:ind w:left="1287" w:hanging="360"/>
      </w:pPr>
    </w:lvl>
    <w:lvl w:ilvl="1" w:tplc="6602D53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1"/>
  </w:num>
  <w:num w:numId="2">
    <w:abstractNumId w:val="4"/>
  </w:num>
  <w:num w:numId="3">
    <w:abstractNumId w:val="0"/>
  </w:num>
  <w:num w:numId="4">
    <w:abstractNumId w:val="3"/>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91"/>
    <w:rsid w:val="0077347B"/>
    <w:rsid w:val="00ED2F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6C1E0-7062-481B-933C-1B04440F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2F91"/>
    <w:pPr>
      <w:spacing w:after="0" w:line="276" w:lineRule="auto"/>
    </w:pPr>
    <w:rPr>
      <w:rFonts w:ascii="Arial" w:eastAsia="Times New Roman" w:hAnsi="Arial" w:cs="Times New Roman"/>
      <w:lang w:val="uk" w:eastAsia="uk-UA"/>
    </w:rPr>
  </w:style>
  <w:style w:type="paragraph" w:styleId="1">
    <w:name w:val="heading 1"/>
    <w:basedOn w:val="a"/>
    <w:next w:val="a"/>
    <w:link w:val="10"/>
    <w:uiPriority w:val="9"/>
    <w:qFormat/>
    <w:rsid w:val="00ED2F91"/>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ED2F91"/>
    <w:pPr>
      <w:keepNext/>
      <w:keepLines/>
      <w:spacing w:before="360" w:after="120"/>
      <w:outlineLvl w:val="1"/>
    </w:pPr>
    <w:rPr>
      <w:sz w:val="32"/>
      <w:szCs w:val="32"/>
    </w:rPr>
  </w:style>
  <w:style w:type="paragraph" w:styleId="3">
    <w:name w:val="heading 3"/>
    <w:basedOn w:val="a"/>
    <w:next w:val="a"/>
    <w:link w:val="30"/>
    <w:uiPriority w:val="9"/>
    <w:semiHidden/>
    <w:unhideWhenUsed/>
    <w:qFormat/>
    <w:rsid w:val="00ED2F91"/>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rsid w:val="00ED2F91"/>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rsid w:val="00ED2F91"/>
    <w:pPr>
      <w:keepNext/>
      <w:keepLines/>
      <w:spacing w:before="240" w:after="80"/>
      <w:outlineLvl w:val="4"/>
    </w:pPr>
    <w:rPr>
      <w:color w:val="666666"/>
    </w:rPr>
  </w:style>
  <w:style w:type="paragraph" w:styleId="6">
    <w:name w:val="heading 6"/>
    <w:basedOn w:val="a"/>
    <w:next w:val="a"/>
    <w:link w:val="60"/>
    <w:uiPriority w:val="9"/>
    <w:semiHidden/>
    <w:unhideWhenUsed/>
    <w:qFormat/>
    <w:rsid w:val="00ED2F91"/>
    <w:pPr>
      <w:keepNext/>
      <w:keepLines/>
      <w:spacing w:before="240" w:after="80"/>
      <w:outlineLvl w:val="5"/>
    </w:pPr>
    <w:rPr>
      <w:i/>
      <w:color w:val="666666"/>
    </w:rPr>
  </w:style>
  <w:style w:type="paragraph" w:styleId="7">
    <w:name w:val="heading 7"/>
    <w:basedOn w:val="a"/>
    <w:next w:val="a"/>
    <w:link w:val="70"/>
    <w:semiHidden/>
    <w:qFormat/>
    <w:rsid w:val="00ED2F91"/>
    <w:pPr>
      <w:keepNext/>
      <w:keepLines/>
      <w:spacing w:before="40" w:line="278" w:lineRule="auto"/>
      <w:outlineLvl w:val="6"/>
    </w:pPr>
    <w:rPr>
      <w:color w:val="595959" w:themeColor="text1" w:themeTint="A6"/>
      <w:kern w:val="2"/>
      <w:sz w:val="24"/>
      <w:szCs w:val="24"/>
      <w:lang w:val="uk-UA" w:eastAsia="en-US"/>
    </w:rPr>
  </w:style>
  <w:style w:type="paragraph" w:styleId="8">
    <w:name w:val="heading 8"/>
    <w:basedOn w:val="a"/>
    <w:next w:val="a"/>
    <w:link w:val="80"/>
    <w:semiHidden/>
    <w:qFormat/>
    <w:rsid w:val="00ED2F91"/>
    <w:pPr>
      <w:keepNext/>
      <w:keepLines/>
      <w:spacing w:line="278" w:lineRule="auto"/>
      <w:outlineLvl w:val="7"/>
    </w:pPr>
    <w:rPr>
      <w:i/>
      <w:iCs/>
      <w:color w:val="272727" w:themeColor="text1" w:themeTint="D8"/>
      <w:kern w:val="2"/>
      <w:sz w:val="24"/>
      <w:szCs w:val="24"/>
      <w:lang w:val="uk-UA" w:eastAsia="en-US"/>
    </w:rPr>
  </w:style>
  <w:style w:type="paragraph" w:styleId="9">
    <w:name w:val="heading 9"/>
    <w:basedOn w:val="a"/>
    <w:next w:val="a"/>
    <w:link w:val="90"/>
    <w:semiHidden/>
    <w:qFormat/>
    <w:rsid w:val="00ED2F91"/>
    <w:pPr>
      <w:keepNext/>
      <w:keepLines/>
      <w:spacing w:line="278" w:lineRule="auto"/>
      <w:outlineLvl w:val="8"/>
    </w:pPr>
    <w:rPr>
      <w:color w:val="272727" w:themeColor="text1" w:themeTint="D8"/>
      <w:kern w:val="2"/>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2F91"/>
    <w:rPr>
      <w:rFonts w:ascii="Arial" w:eastAsia="Times New Roman" w:hAnsi="Arial" w:cs="Times New Roman"/>
      <w:sz w:val="40"/>
      <w:szCs w:val="40"/>
      <w:lang w:val="uk" w:eastAsia="uk-UA"/>
    </w:rPr>
  </w:style>
  <w:style w:type="character" w:customStyle="1" w:styleId="20">
    <w:name w:val="Заголовок 2 Знак"/>
    <w:basedOn w:val="a0"/>
    <w:link w:val="2"/>
    <w:uiPriority w:val="9"/>
    <w:semiHidden/>
    <w:rsid w:val="00ED2F91"/>
    <w:rPr>
      <w:rFonts w:ascii="Arial" w:eastAsia="Times New Roman" w:hAnsi="Arial" w:cs="Times New Roman"/>
      <w:sz w:val="32"/>
      <w:szCs w:val="32"/>
      <w:lang w:val="uk" w:eastAsia="uk-UA"/>
    </w:rPr>
  </w:style>
  <w:style w:type="character" w:customStyle="1" w:styleId="30">
    <w:name w:val="Заголовок 3 Знак"/>
    <w:basedOn w:val="a0"/>
    <w:link w:val="3"/>
    <w:uiPriority w:val="9"/>
    <w:semiHidden/>
    <w:rsid w:val="00ED2F91"/>
    <w:rPr>
      <w:rFonts w:ascii="Arial" w:eastAsia="Times New Roman" w:hAnsi="Arial" w:cs="Times New Roman"/>
      <w:color w:val="434343"/>
      <w:sz w:val="28"/>
      <w:szCs w:val="28"/>
      <w:lang w:val="uk" w:eastAsia="uk-UA"/>
    </w:rPr>
  </w:style>
  <w:style w:type="character" w:customStyle="1" w:styleId="40">
    <w:name w:val="Заголовок 4 Знак"/>
    <w:basedOn w:val="a0"/>
    <w:link w:val="4"/>
    <w:uiPriority w:val="9"/>
    <w:semiHidden/>
    <w:rsid w:val="00ED2F91"/>
    <w:rPr>
      <w:rFonts w:ascii="Arial" w:eastAsia="Times New Roman" w:hAnsi="Arial" w:cs="Times New Roman"/>
      <w:color w:val="666666"/>
      <w:sz w:val="24"/>
      <w:szCs w:val="24"/>
      <w:lang w:val="uk" w:eastAsia="uk-UA"/>
    </w:rPr>
  </w:style>
  <w:style w:type="character" w:customStyle="1" w:styleId="50">
    <w:name w:val="Заголовок 5 Знак"/>
    <w:basedOn w:val="a0"/>
    <w:link w:val="5"/>
    <w:uiPriority w:val="9"/>
    <w:semiHidden/>
    <w:rsid w:val="00ED2F91"/>
    <w:rPr>
      <w:rFonts w:ascii="Arial" w:eastAsia="Times New Roman" w:hAnsi="Arial" w:cs="Times New Roman"/>
      <w:color w:val="666666"/>
      <w:lang w:val="uk" w:eastAsia="uk-UA"/>
    </w:rPr>
  </w:style>
  <w:style w:type="character" w:customStyle="1" w:styleId="60">
    <w:name w:val="Заголовок 6 Знак"/>
    <w:basedOn w:val="a0"/>
    <w:link w:val="6"/>
    <w:uiPriority w:val="9"/>
    <w:semiHidden/>
    <w:rsid w:val="00ED2F91"/>
    <w:rPr>
      <w:rFonts w:ascii="Arial" w:eastAsia="Times New Roman" w:hAnsi="Arial" w:cs="Times New Roman"/>
      <w:i/>
      <w:color w:val="666666"/>
      <w:lang w:val="uk" w:eastAsia="uk-UA"/>
    </w:rPr>
  </w:style>
  <w:style w:type="character" w:customStyle="1" w:styleId="70">
    <w:name w:val="Заголовок 7 Знак"/>
    <w:basedOn w:val="a0"/>
    <w:link w:val="7"/>
    <w:semiHidden/>
    <w:rsid w:val="00ED2F91"/>
    <w:rPr>
      <w:rFonts w:ascii="Arial" w:eastAsia="Times New Roman" w:hAnsi="Arial" w:cs="Times New Roman"/>
      <w:color w:val="595959" w:themeColor="text1" w:themeTint="A6"/>
      <w:kern w:val="2"/>
      <w:sz w:val="24"/>
      <w:szCs w:val="24"/>
    </w:rPr>
  </w:style>
  <w:style w:type="character" w:customStyle="1" w:styleId="80">
    <w:name w:val="Заголовок 8 Знак"/>
    <w:basedOn w:val="a0"/>
    <w:link w:val="8"/>
    <w:semiHidden/>
    <w:rsid w:val="00ED2F91"/>
    <w:rPr>
      <w:rFonts w:ascii="Arial" w:eastAsia="Times New Roman" w:hAnsi="Arial" w:cs="Times New Roman"/>
      <w:i/>
      <w:iCs/>
      <w:color w:val="272727" w:themeColor="text1" w:themeTint="D8"/>
      <w:kern w:val="2"/>
      <w:sz w:val="24"/>
      <w:szCs w:val="24"/>
    </w:rPr>
  </w:style>
  <w:style w:type="character" w:customStyle="1" w:styleId="90">
    <w:name w:val="Заголовок 9 Знак"/>
    <w:basedOn w:val="a0"/>
    <w:link w:val="9"/>
    <w:semiHidden/>
    <w:rsid w:val="00ED2F91"/>
    <w:rPr>
      <w:rFonts w:ascii="Arial" w:eastAsia="Times New Roman" w:hAnsi="Arial" w:cs="Times New Roman"/>
      <w:color w:val="272727" w:themeColor="text1" w:themeTint="D8"/>
      <w:kern w:val="2"/>
      <w:sz w:val="24"/>
      <w:szCs w:val="24"/>
    </w:rPr>
  </w:style>
  <w:style w:type="paragraph" w:styleId="a3">
    <w:name w:val="Title"/>
    <w:basedOn w:val="a"/>
    <w:next w:val="a"/>
    <w:link w:val="a4"/>
    <w:uiPriority w:val="10"/>
    <w:qFormat/>
    <w:rsid w:val="00ED2F91"/>
    <w:pPr>
      <w:keepNext/>
      <w:keepLines/>
      <w:spacing w:after="60"/>
    </w:pPr>
    <w:rPr>
      <w:sz w:val="52"/>
      <w:szCs w:val="52"/>
    </w:rPr>
  </w:style>
  <w:style w:type="character" w:customStyle="1" w:styleId="a4">
    <w:name w:val="Назва Знак"/>
    <w:basedOn w:val="a0"/>
    <w:link w:val="a3"/>
    <w:uiPriority w:val="10"/>
    <w:rsid w:val="00ED2F91"/>
    <w:rPr>
      <w:rFonts w:ascii="Arial" w:eastAsia="Times New Roman" w:hAnsi="Arial" w:cs="Times New Roman"/>
      <w:sz w:val="52"/>
      <w:szCs w:val="52"/>
      <w:lang w:val="uk" w:eastAsia="uk-UA"/>
    </w:rPr>
  </w:style>
  <w:style w:type="paragraph" w:styleId="a5">
    <w:name w:val="Subtitle"/>
    <w:basedOn w:val="a"/>
    <w:next w:val="a"/>
    <w:link w:val="a6"/>
    <w:uiPriority w:val="11"/>
    <w:qFormat/>
    <w:rsid w:val="00ED2F91"/>
    <w:pPr>
      <w:keepNext/>
      <w:keepLines/>
      <w:spacing w:after="320"/>
    </w:pPr>
    <w:rPr>
      <w:color w:val="666666"/>
      <w:sz w:val="30"/>
      <w:szCs w:val="30"/>
    </w:rPr>
  </w:style>
  <w:style w:type="character" w:customStyle="1" w:styleId="a6">
    <w:name w:val="Підзаголовок Знак"/>
    <w:basedOn w:val="a0"/>
    <w:link w:val="a5"/>
    <w:uiPriority w:val="11"/>
    <w:rsid w:val="00ED2F91"/>
    <w:rPr>
      <w:rFonts w:ascii="Arial" w:eastAsia="Times New Roman" w:hAnsi="Arial" w:cs="Times New Roman"/>
      <w:color w:val="666666"/>
      <w:sz w:val="30"/>
      <w:szCs w:val="30"/>
      <w:lang w:val="uk" w:eastAsia="uk-UA"/>
    </w:rPr>
  </w:style>
  <w:style w:type="paragraph" w:styleId="a7">
    <w:name w:val="footnote text"/>
    <w:link w:val="a8"/>
    <w:semiHidden/>
    <w:rsid w:val="00ED2F91"/>
    <w:pPr>
      <w:spacing w:after="0" w:line="240" w:lineRule="auto"/>
    </w:pPr>
    <w:rPr>
      <w:rFonts w:ascii="Arial" w:eastAsia="Times New Roman" w:hAnsi="Arial" w:cs="Times New Roman"/>
      <w:sz w:val="20"/>
      <w:szCs w:val="20"/>
      <w:lang w:val="uk" w:eastAsia="uk-UA"/>
    </w:rPr>
  </w:style>
  <w:style w:type="character" w:customStyle="1" w:styleId="a8">
    <w:name w:val="Текст виноски Знак"/>
    <w:basedOn w:val="a0"/>
    <w:link w:val="a7"/>
    <w:semiHidden/>
    <w:rsid w:val="00ED2F91"/>
    <w:rPr>
      <w:rFonts w:ascii="Arial" w:eastAsia="Times New Roman" w:hAnsi="Arial" w:cs="Times New Roman"/>
      <w:sz w:val="20"/>
      <w:szCs w:val="20"/>
      <w:lang w:val="uk" w:eastAsia="uk-UA"/>
    </w:rPr>
  </w:style>
  <w:style w:type="paragraph" w:styleId="a9">
    <w:name w:val="endnote text"/>
    <w:link w:val="aa"/>
    <w:semiHidden/>
    <w:rsid w:val="00ED2F91"/>
    <w:pPr>
      <w:spacing w:after="0" w:line="240" w:lineRule="auto"/>
    </w:pPr>
    <w:rPr>
      <w:rFonts w:ascii="Arial" w:eastAsia="Times New Roman" w:hAnsi="Arial" w:cs="Times New Roman"/>
      <w:sz w:val="20"/>
      <w:szCs w:val="20"/>
      <w:lang w:val="uk" w:eastAsia="uk-UA"/>
    </w:rPr>
  </w:style>
  <w:style w:type="character" w:customStyle="1" w:styleId="aa">
    <w:name w:val="Текст кінцевої виноски Знак"/>
    <w:basedOn w:val="a0"/>
    <w:link w:val="a9"/>
    <w:semiHidden/>
    <w:rsid w:val="00ED2F91"/>
    <w:rPr>
      <w:rFonts w:ascii="Arial" w:eastAsia="Times New Roman" w:hAnsi="Arial" w:cs="Times New Roman"/>
      <w:sz w:val="20"/>
      <w:szCs w:val="20"/>
      <w:lang w:val="uk" w:eastAsia="uk-UA"/>
    </w:rPr>
  </w:style>
  <w:style w:type="paragraph" w:styleId="ab">
    <w:name w:val="List Paragraph"/>
    <w:basedOn w:val="a"/>
    <w:qFormat/>
    <w:rsid w:val="00ED2F91"/>
    <w:pPr>
      <w:spacing w:after="160" w:line="278" w:lineRule="auto"/>
      <w:ind w:left="720"/>
      <w:contextualSpacing/>
    </w:pPr>
    <w:rPr>
      <w:kern w:val="2"/>
      <w:sz w:val="24"/>
      <w:szCs w:val="24"/>
      <w:lang w:val="uk-UA" w:eastAsia="en-US"/>
    </w:rPr>
  </w:style>
  <w:style w:type="paragraph" w:styleId="ac">
    <w:name w:val="Quote"/>
    <w:basedOn w:val="a"/>
    <w:next w:val="a"/>
    <w:link w:val="ad"/>
    <w:qFormat/>
    <w:rsid w:val="00ED2F91"/>
    <w:pPr>
      <w:spacing w:before="160" w:after="160" w:line="278" w:lineRule="auto"/>
      <w:jc w:val="center"/>
    </w:pPr>
    <w:rPr>
      <w:i/>
      <w:iCs/>
      <w:color w:val="404040" w:themeColor="text1" w:themeTint="BF"/>
      <w:kern w:val="2"/>
      <w:sz w:val="24"/>
      <w:szCs w:val="24"/>
      <w:lang w:val="uk-UA" w:eastAsia="en-US"/>
    </w:rPr>
  </w:style>
  <w:style w:type="character" w:customStyle="1" w:styleId="ad">
    <w:name w:val="Цитата Знак"/>
    <w:basedOn w:val="a0"/>
    <w:link w:val="ac"/>
    <w:rsid w:val="00ED2F91"/>
    <w:rPr>
      <w:rFonts w:ascii="Arial" w:eastAsia="Times New Roman" w:hAnsi="Arial" w:cs="Times New Roman"/>
      <w:i/>
      <w:iCs/>
      <w:color w:val="404040" w:themeColor="text1" w:themeTint="BF"/>
      <w:kern w:val="2"/>
      <w:sz w:val="24"/>
      <w:szCs w:val="24"/>
    </w:rPr>
  </w:style>
  <w:style w:type="paragraph" w:styleId="ae">
    <w:name w:val="Intense Quote"/>
    <w:basedOn w:val="a"/>
    <w:next w:val="a"/>
    <w:link w:val="af"/>
    <w:qFormat/>
    <w:rsid w:val="00ED2F9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uk-UA" w:eastAsia="en-US"/>
    </w:rPr>
  </w:style>
  <w:style w:type="character" w:customStyle="1" w:styleId="af">
    <w:name w:val="Насичена цитата Знак"/>
    <w:basedOn w:val="a0"/>
    <w:link w:val="ae"/>
    <w:rsid w:val="00ED2F91"/>
    <w:rPr>
      <w:rFonts w:ascii="Arial" w:eastAsia="Times New Roman" w:hAnsi="Arial" w:cs="Times New Roman"/>
      <w:i/>
      <w:iCs/>
      <w:color w:val="2F5496" w:themeColor="accent1" w:themeShade="BF"/>
      <w:kern w:val="2"/>
      <w:sz w:val="24"/>
      <w:szCs w:val="24"/>
    </w:rPr>
  </w:style>
  <w:style w:type="paragraph" w:customStyle="1" w:styleId="msonormal0">
    <w:name w:val="msonormal"/>
    <w:basedOn w:val="a"/>
    <w:rsid w:val="00ED2F91"/>
    <w:pPr>
      <w:spacing w:before="100" w:beforeAutospacing="1" w:after="100" w:afterAutospacing="1" w:line="240" w:lineRule="auto"/>
    </w:pPr>
    <w:rPr>
      <w:rFonts w:ascii="Times New Roman" w:hAnsi="Times New Roman"/>
      <w:sz w:val="24"/>
      <w:szCs w:val="24"/>
      <w:lang w:val="uk-UA"/>
    </w:rPr>
  </w:style>
  <w:style w:type="paragraph" w:styleId="af0">
    <w:name w:val="Normal (Web)"/>
    <w:basedOn w:val="a"/>
    <w:uiPriority w:val="99"/>
    <w:rsid w:val="00ED2F91"/>
    <w:pPr>
      <w:spacing w:before="100" w:beforeAutospacing="1" w:after="100" w:afterAutospacing="1" w:line="240" w:lineRule="auto"/>
    </w:pPr>
    <w:rPr>
      <w:rFonts w:ascii="Times New Roman" w:hAnsi="Times New Roman"/>
      <w:sz w:val="24"/>
      <w:szCs w:val="24"/>
      <w:lang w:val="uk-UA"/>
    </w:rPr>
  </w:style>
  <w:style w:type="paragraph" w:styleId="af1">
    <w:name w:val="annotation text"/>
    <w:basedOn w:val="a"/>
    <w:link w:val="af2"/>
    <w:rsid w:val="00ED2F91"/>
    <w:pPr>
      <w:spacing w:after="160" w:line="240" w:lineRule="auto"/>
    </w:pPr>
    <w:rPr>
      <w:kern w:val="2"/>
      <w:sz w:val="20"/>
      <w:szCs w:val="20"/>
      <w:lang w:val="uk-UA" w:eastAsia="en-US"/>
    </w:rPr>
  </w:style>
  <w:style w:type="character" w:customStyle="1" w:styleId="af2">
    <w:name w:val="Текст примітки Знак"/>
    <w:basedOn w:val="a0"/>
    <w:link w:val="af1"/>
    <w:rsid w:val="00ED2F91"/>
    <w:rPr>
      <w:rFonts w:ascii="Arial" w:eastAsia="Times New Roman" w:hAnsi="Arial" w:cs="Times New Roman"/>
      <w:kern w:val="2"/>
      <w:sz w:val="20"/>
      <w:szCs w:val="20"/>
    </w:rPr>
  </w:style>
  <w:style w:type="paragraph" w:styleId="af3">
    <w:name w:val="annotation subject"/>
    <w:basedOn w:val="af1"/>
    <w:next w:val="af1"/>
    <w:link w:val="af4"/>
    <w:semiHidden/>
    <w:rsid w:val="00ED2F91"/>
    <w:rPr>
      <w:b/>
      <w:bCs/>
    </w:rPr>
  </w:style>
  <w:style w:type="character" w:customStyle="1" w:styleId="af4">
    <w:name w:val="Тема примітки Знак"/>
    <w:basedOn w:val="af2"/>
    <w:link w:val="af3"/>
    <w:semiHidden/>
    <w:rsid w:val="00ED2F91"/>
    <w:rPr>
      <w:rFonts w:ascii="Arial" w:eastAsia="Times New Roman" w:hAnsi="Arial" w:cs="Times New Roman"/>
      <w:b/>
      <w:bCs/>
      <w:kern w:val="2"/>
      <w:sz w:val="20"/>
      <w:szCs w:val="20"/>
    </w:rPr>
  </w:style>
  <w:style w:type="character" w:styleId="af5">
    <w:name w:val="line number"/>
    <w:basedOn w:val="a0"/>
    <w:semiHidden/>
    <w:rsid w:val="00ED2F91"/>
  </w:style>
  <w:style w:type="character" w:styleId="af6">
    <w:name w:val="Hyperlink"/>
    <w:rsid w:val="00ED2F91"/>
    <w:rPr>
      <w:color w:val="0000FF"/>
      <w:u w:val="single"/>
    </w:rPr>
  </w:style>
  <w:style w:type="character" w:styleId="af7">
    <w:name w:val="footnote reference"/>
    <w:semiHidden/>
    <w:rsid w:val="00ED2F91"/>
    <w:rPr>
      <w:vertAlign w:val="superscript"/>
    </w:rPr>
  </w:style>
  <w:style w:type="character" w:styleId="af8">
    <w:name w:val="endnote reference"/>
    <w:semiHidden/>
    <w:rsid w:val="00ED2F91"/>
    <w:rPr>
      <w:vertAlign w:val="superscript"/>
    </w:rPr>
  </w:style>
  <w:style w:type="character" w:styleId="af9">
    <w:name w:val="Intense Emphasis"/>
    <w:basedOn w:val="a0"/>
    <w:qFormat/>
    <w:rsid w:val="00ED2F91"/>
    <w:rPr>
      <w:i/>
      <w:iCs/>
      <w:color w:val="2F5496" w:themeColor="accent1" w:themeShade="BF"/>
    </w:rPr>
  </w:style>
  <w:style w:type="character" w:styleId="afa">
    <w:name w:val="Intense Reference"/>
    <w:basedOn w:val="a0"/>
    <w:qFormat/>
    <w:rsid w:val="00ED2F91"/>
    <w:rPr>
      <w:b/>
      <w:bCs/>
      <w:smallCaps/>
      <w:color w:val="2F5496" w:themeColor="accent1" w:themeShade="BF"/>
      <w:spacing w:val="5"/>
    </w:rPr>
  </w:style>
  <w:style w:type="character" w:customStyle="1" w:styleId="apple-tab-span">
    <w:name w:val="apple-tab-span"/>
    <w:basedOn w:val="a0"/>
    <w:rsid w:val="00ED2F91"/>
  </w:style>
  <w:style w:type="character" w:styleId="afb">
    <w:name w:val="annotation reference"/>
    <w:basedOn w:val="a0"/>
    <w:semiHidden/>
    <w:rsid w:val="00ED2F91"/>
    <w:rPr>
      <w:sz w:val="16"/>
      <w:szCs w:val="16"/>
    </w:rPr>
  </w:style>
  <w:style w:type="character" w:customStyle="1" w:styleId="FootnoteTextChar">
    <w:name w:val="Footnote Text Char"/>
    <w:semiHidden/>
    <w:rsid w:val="00ED2F91"/>
    <w:rPr>
      <w:sz w:val="20"/>
      <w:szCs w:val="20"/>
    </w:rPr>
  </w:style>
  <w:style w:type="character" w:customStyle="1" w:styleId="EndnoteTextChar">
    <w:name w:val="Endnote Text Char"/>
    <w:semiHidden/>
    <w:rsid w:val="00ED2F91"/>
    <w:rPr>
      <w:sz w:val="20"/>
      <w:szCs w:val="20"/>
    </w:rPr>
  </w:style>
  <w:style w:type="table" w:styleId="11">
    <w:name w:val="Table Simple 1"/>
    <w:basedOn w:val="a1"/>
    <w:rsid w:val="00ED2F91"/>
    <w:pPr>
      <w:spacing w:after="0" w:line="276" w:lineRule="auto"/>
    </w:pPr>
    <w:rPr>
      <w:rFonts w:ascii="Arial" w:eastAsia="Times New Roman" w:hAnsi="Arial" w:cs="Times New Roman"/>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ED2F91"/>
    <w:pPr>
      <w:spacing w:after="0" w:line="276" w:lineRule="auto"/>
    </w:pPr>
    <w:rPr>
      <w:rFonts w:ascii="Arial" w:eastAsia="Times New Roman" w:hAnsi="Arial" w:cs="Times New Roman"/>
      <w:lang w:val="uk" w:eastAsia="uk-UA"/>
    </w:rPr>
    <w:tblPr>
      <w:tblCellMar>
        <w:top w:w="0" w:type="dxa"/>
        <w:left w:w="0" w:type="dxa"/>
        <w:bottom w:w="0" w:type="dxa"/>
        <w:right w:w="0" w:type="dxa"/>
      </w:tblCellMar>
    </w:tblPr>
  </w:style>
  <w:style w:type="table" w:customStyle="1" w:styleId="TableNormal0">
    <w:name w:val="TableNormal"/>
    <w:rsid w:val="00ED2F91"/>
    <w:rPr>
      <w:rFonts w:ascii="Calibri" w:eastAsia="Calibri" w:hAnsi="Calibri" w:cs="Calibri"/>
      <w:lang w:val="uk" w:eastAsia="uk-UA"/>
    </w:rPr>
    <w:tblPr>
      <w:tblCellMar>
        <w:top w:w="100" w:type="dxa"/>
        <w:left w:w="100" w:type="dxa"/>
        <w:bottom w:w="100" w:type="dxa"/>
        <w:right w:w="100" w:type="dxa"/>
      </w:tblCellMar>
    </w:tblPr>
  </w:style>
  <w:style w:type="paragraph" w:customStyle="1" w:styleId="rvps2">
    <w:name w:val="rvps2"/>
    <w:rsid w:val="00ED2F91"/>
    <w:pPr>
      <w:spacing w:before="100" w:beforeAutospacing="1" w:after="100" w:afterAutospacing="1" w:line="240" w:lineRule="auto"/>
    </w:pPr>
    <w:rPr>
      <w:rFonts w:ascii="Times New Roman" w:eastAsia="Calibri" w:hAnsi="Times New Roman" w:cs="Calibri"/>
      <w:sz w:val="24"/>
      <w:szCs w:val="24"/>
      <w:lang w:val="uk" w:eastAsia="uk-UA"/>
    </w:rPr>
  </w:style>
  <w:style w:type="paragraph" w:customStyle="1" w:styleId="TableParagraph">
    <w:name w:val="Table Paragraph"/>
    <w:qFormat/>
    <w:rsid w:val="00ED2F91"/>
    <w:pPr>
      <w:widowControl w:val="0"/>
      <w:spacing w:before="60" w:after="0" w:line="240" w:lineRule="auto"/>
      <w:ind w:left="241"/>
    </w:pPr>
    <w:rPr>
      <w:rFonts w:ascii="Times New Roman" w:eastAsia="Calibri" w:hAnsi="Times New Roman" w:cs="Calibri"/>
      <w:lang w:val="uk"/>
    </w:rPr>
  </w:style>
  <w:style w:type="paragraph" w:styleId="afc">
    <w:name w:val="Balloon Text"/>
    <w:link w:val="afd"/>
    <w:semiHidden/>
    <w:rsid w:val="00ED2F91"/>
    <w:pPr>
      <w:spacing w:after="0" w:line="240" w:lineRule="auto"/>
    </w:pPr>
    <w:rPr>
      <w:rFonts w:ascii="Segoe UI" w:eastAsia="Calibri" w:hAnsi="Segoe UI" w:cs="Calibri"/>
      <w:sz w:val="18"/>
      <w:szCs w:val="18"/>
      <w:lang w:val="uk" w:eastAsia="uk-UA"/>
    </w:rPr>
  </w:style>
  <w:style w:type="character" w:customStyle="1" w:styleId="afd">
    <w:name w:val="Текст у виносці Знак"/>
    <w:basedOn w:val="a0"/>
    <w:link w:val="afc"/>
    <w:semiHidden/>
    <w:rsid w:val="00ED2F91"/>
    <w:rPr>
      <w:rFonts w:ascii="Segoe UI" w:eastAsia="Calibri" w:hAnsi="Segoe UI" w:cs="Calibri"/>
      <w:sz w:val="18"/>
      <w:szCs w:val="18"/>
      <w:lang w:val="uk" w:eastAsia="uk-UA"/>
    </w:rPr>
  </w:style>
  <w:style w:type="character" w:customStyle="1" w:styleId="rvts46">
    <w:name w:val="rvts46"/>
    <w:basedOn w:val="a0"/>
    <w:rsid w:val="00ED2F91"/>
  </w:style>
  <w:style w:type="character" w:customStyle="1" w:styleId="rvts11">
    <w:name w:val="rvts11"/>
    <w:basedOn w:val="a0"/>
    <w:rsid w:val="00ED2F91"/>
  </w:style>
  <w:style w:type="table" w:styleId="afe">
    <w:name w:val="Table Grid"/>
    <w:basedOn w:val="a1"/>
    <w:rsid w:val="00ED2F91"/>
    <w:pPr>
      <w:spacing w:after="0" w:line="240" w:lineRule="auto"/>
    </w:pPr>
    <w:rPr>
      <w:rFonts w:ascii="Calibri" w:eastAsia="Calibri" w:hAnsi="Calibri" w:cs="Calibri"/>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inc.org/14800-7" TargetMode="External"/><Relationship Id="rId13" Type="http://schemas.openxmlformats.org/officeDocument/2006/relationships/hyperlink" Target="https://loinc.org/52973-5" TargetMode="External"/><Relationship Id="rId3" Type="http://schemas.openxmlformats.org/officeDocument/2006/relationships/settings" Target="settings.xml"/><Relationship Id="rId7" Type="http://schemas.openxmlformats.org/officeDocument/2006/relationships/hyperlink" Target="https://loinc.org/14933-6" TargetMode="External"/><Relationship Id="rId12" Type="http://schemas.openxmlformats.org/officeDocument/2006/relationships/hyperlink" Target="https://loinc.org/139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inc.org/46099-8" TargetMode="External"/><Relationship Id="rId11" Type="http://schemas.openxmlformats.org/officeDocument/2006/relationships/hyperlink" Target="https://loinc.org/104263-9" TargetMode="External"/><Relationship Id="rId5" Type="http://schemas.openxmlformats.org/officeDocument/2006/relationships/hyperlink" Target="https://loinc.org/16362-6" TargetMode="External"/><Relationship Id="rId15" Type="http://schemas.openxmlformats.org/officeDocument/2006/relationships/theme" Target="theme/theme1.xml"/><Relationship Id="rId10" Type="http://schemas.openxmlformats.org/officeDocument/2006/relationships/hyperlink" Target="https://loinc.org/38477-6" TargetMode="External"/><Relationship Id="rId4" Type="http://schemas.openxmlformats.org/officeDocument/2006/relationships/webSettings" Target="webSettings.xml"/><Relationship Id="rId9" Type="http://schemas.openxmlformats.org/officeDocument/2006/relationships/hyperlink" Target="https://loinc.org/2399-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100903</Words>
  <Characters>57516</Characters>
  <Application>Microsoft Office Word</Application>
  <DocSecurity>0</DocSecurity>
  <Lines>479</Lines>
  <Paragraphs>316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158103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2025-11-26T11:55:00Z</dcterms:created>
  <dcterms:modified xsi:type="dcterms:W3CDTF">2025-11-26T11:56:00Z</dcterms:modified>
</cp:coreProperties>
</file>