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9F7" w:rsidRDefault="00CC39F7" w:rsidP="00CC39F7">
      <w:pPr>
        <w:shd w:val="clear" w:color="auto" w:fill="FFFFFF"/>
        <w:spacing w:line="240" w:lineRule="auto"/>
        <w:ind w:firstLine="567"/>
        <w:jc w:val="center"/>
        <w:rPr>
          <w:rFonts w:ascii="Times New Roman" w:hAnsi="Times New Roman"/>
          <w:b/>
          <w:sz w:val="24"/>
          <w:szCs w:val="24"/>
          <w:lang w:val="uk-UA"/>
        </w:rPr>
      </w:pPr>
      <w:bookmarkStart w:id="0" w:name="_GoBack"/>
      <w:r>
        <w:rPr>
          <w:rFonts w:ascii="Times New Roman" w:hAnsi="Times New Roman"/>
          <w:b/>
          <w:sz w:val="24"/>
          <w:szCs w:val="24"/>
        </w:rPr>
        <w:t xml:space="preserve">Умови закупівлі медичних послуг, які будуть надаватись за </w:t>
      </w:r>
      <w:r>
        <w:rPr>
          <w:rFonts w:ascii="Times New Roman" w:hAnsi="Times New Roman"/>
          <w:b/>
          <w:sz w:val="24"/>
          <w:szCs w:val="24"/>
          <w:lang w:val="uk-UA"/>
        </w:rPr>
        <w:t>д</w:t>
      </w:r>
      <w:r>
        <w:rPr>
          <w:rFonts w:ascii="Times New Roman" w:hAnsi="Times New Roman"/>
          <w:b/>
          <w:sz w:val="24"/>
          <w:szCs w:val="24"/>
        </w:rPr>
        <w:t>оговором</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bookmarkStart w:id="1" w:name="_heading=h.v8lpwptzsrx0" w:colFirst="0" w:colLast="0"/>
      <w:bookmarkStart w:id="2" w:name="_Hlk220493285"/>
      <w:bookmarkEnd w:id="1"/>
      <w:bookmarkEnd w:id="0"/>
      <w:r w:rsidRPr="005E1F8A">
        <w:rPr>
          <w:rFonts w:ascii="Times New Roman" w:hAnsi="Times New Roman"/>
          <w:i/>
          <w:sz w:val="24"/>
          <w:szCs w:val="24"/>
        </w:rPr>
        <w:t>Умови надання послуги</w:t>
      </w:r>
      <w:r w:rsidRPr="005E1F8A">
        <w:rPr>
          <w:rFonts w:ascii="Times New Roman" w:hAnsi="Times New Roman"/>
          <w:sz w:val="24"/>
          <w:szCs w:val="24"/>
        </w:rPr>
        <w:t xml:space="preserve">: амбулаторно (зокрема, в умовах приймального відділення/відділенні екстреної та невідкладної допомоги/травмпункті), за місцем проживання (перебування) пацієнта/пацієнтки при наявності медичних показань (за рішенням лікуючого лікаря-спеціаліста) або з використанням </w:t>
      </w:r>
      <w:r w:rsidRPr="005E1F8A">
        <w:rPr>
          <w:rFonts w:ascii="Times New Roman" w:hAnsi="Times New Roman"/>
          <w:sz w:val="24"/>
          <w:szCs w:val="24"/>
          <w:highlight w:val="white"/>
        </w:rPr>
        <w:t>технічних засобів електронних комунікацій</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i/>
          <w:sz w:val="24"/>
          <w:szCs w:val="24"/>
        </w:rPr>
        <w:t>Підстави надання послуги</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направлення лікаря з надання ПМД, якого обрано за декларацією про вибір лікаря;</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направлення лікуючого лікаря-спеціаліста;</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самозвернення до лікаря-акушера-гінеколога, лікаря-гінеколога дитячого та підліткового віку, лікаря-педіатра, лікаря-нарколога, лікаря-фтизіатра, лікаря-фтизіатра дитячого;</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до лікаря-психолога, лікаря-психіатра, лікаря-психіатра дитячого, лікаря-психіатра підліткового, лікаря-психотерапевта, клінічного психолога  - для закладів, у яких відсутній договір за пакетом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до лікаря-спеціаліста, у якого пацієнт/пацієнтка із хронічними захворюваннями перебуває під медичним наглядом;</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самозвернення у невідкладному стані. </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підстави надання послуги: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доставлення бригадою екстреної (швидкої) медичної допомоги;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у невідкладному стані;</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направлення лікуючим лікарем пацієнтів за групами захворювань, викладених у Додатку 2.</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 </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організації надання послуги: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w:t>
      </w:r>
      <w:r w:rsidRPr="005E1F8A">
        <w:rPr>
          <w:rFonts w:ascii="Times New Roman" w:hAnsi="Times New Roman"/>
          <w:sz w:val="14"/>
          <w:szCs w:val="14"/>
        </w:rPr>
        <w:t xml:space="preserve"> </w:t>
      </w:r>
      <w:r w:rsidRPr="005E1F8A">
        <w:rPr>
          <w:rFonts w:ascii="Times New Roman" w:hAnsi="Times New Roman"/>
          <w:sz w:val="24"/>
          <w:szCs w:val="24"/>
        </w:rPr>
        <w:t>Надання консультативно-діагностичної, лікувально-профілактичної спеціалізованої медичної допомоги та послуг у галузі охорони здоров’я за таких умов:</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надання послуг щонайменше за двома будь-якими сервісами - для монопрофільних закладів охорони здоров’я, зокрема, онкологічних, інфекційних, фтизіатричних, психіатричних, шкірно-венерологічних, а також для закладів державної форми власності та закладів, які надають допомогу дітям</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або</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надання послуг щонайменше за двома класами сервісу «Консультування та лікування» та одним класом сервісу «Процедури» та щонайменше за двома класами сервісів «Лабораторна діагностика» та/або «Інструментальна діагностика» - для всіх інших закладів охорони здоров’я;</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або</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надання послуг за класами «Магнітно-резонансна томографія» та/або «Комп’ютерна томографія», та/або «Ядерна медицина» (для закладів охорони здоров’я державної форми власності) або класом «Рентгенологічні дослідження» (стоматологічна комп’ютерна томографія, для закладів охорони здоров’я державної форми власності) за сервісом «Інструментальна діагностика» (доступно за умови укладення договору в рамках пакету виключно за цими класами сервісу).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lastRenderedPageBreak/>
        <w:t>2.</w:t>
      </w:r>
      <w:r w:rsidRPr="005E1F8A">
        <w:rPr>
          <w:rFonts w:ascii="Times New Roman" w:hAnsi="Times New Roman"/>
          <w:sz w:val="14"/>
          <w:szCs w:val="14"/>
        </w:rPr>
        <w:t xml:space="preserve"> </w:t>
      </w:r>
      <w:r w:rsidRPr="005E1F8A">
        <w:rPr>
          <w:rFonts w:ascii="Times New Roman" w:hAnsi="Times New Roman"/>
          <w:sz w:val="24"/>
          <w:szCs w:val="24"/>
        </w:rPr>
        <w:t xml:space="preserve">Проведення лабораторних досліджень, визначених специфікаціями, у закладі за певним/и класом/ми сервісу «Лабораторна діагностика» (за умови наявності необхідного обладнання).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3.</w:t>
      </w:r>
      <w:r w:rsidRPr="005E1F8A">
        <w:rPr>
          <w:rFonts w:ascii="Times New Roman" w:hAnsi="Times New Roman"/>
          <w:sz w:val="14"/>
          <w:szCs w:val="14"/>
        </w:rPr>
        <w:t xml:space="preserve"> </w:t>
      </w:r>
      <w:r w:rsidRPr="005E1F8A">
        <w:rPr>
          <w:rFonts w:ascii="Times New Roman" w:hAnsi="Times New Roman"/>
          <w:sz w:val="24"/>
          <w:szCs w:val="24"/>
        </w:rPr>
        <w:t>Проведення інструментальних методів дослідження відповідно до напряму надання допомоги у ЗОЗ та галузевих стандартів у сфері охорони здоров’я (за умови наявності відповідного обладнання в ЗОЗ).</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4.</w:t>
      </w:r>
      <w:r w:rsidRPr="005E1F8A">
        <w:rPr>
          <w:rFonts w:ascii="Times New Roman" w:hAnsi="Times New Roman"/>
          <w:sz w:val="14"/>
          <w:szCs w:val="14"/>
        </w:rPr>
        <w:t xml:space="preserve"> </w:t>
      </w:r>
      <w:r w:rsidRPr="005E1F8A">
        <w:rPr>
          <w:rFonts w:ascii="Times New Roman" w:hAnsi="Times New Roman"/>
          <w:sz w:val="24"/>
          <w:szCs w:val="24"/>
        </w:rPr>
        <w:t>Наявність малої операційної у ЗОЗ за умови надання послуг за сервісом «Процедури».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5.</w:t>
      </w:r>
      <w:r w:rsidRPr="005E1F8A">
        <w:rPr>
          <w:rFonts w:ascii="Times New Roman" w:hAnsi="Times New Roman"/>
          <w:sz w:val="14"/>
          <w:szCs w:val="14"/>
        </w:rPr>
        <w:t xml:space="preserve"> </w:t>
      </w:r>
      <w:r w:rsidRPr="005E1F8A">
        <w:rPr>
          <w:rFonts w:ascii="Times New Roman" w:hAnsi="Times New Roman"/>
          <w:sz w:val="24"/>
          <w:szCs w:val="24"/>
        </w:rPr>
        <w:t xml:space="preserve">Наявність лікаря-спеціаліста відповідно до наявного обладнання та профілю медичних послуг, які надаються у ЗОЗ.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6.</w:t>
      </w:r>
      <w:r w:rsidRPr="005E1F8A">
        <w:rPr>
          <w:rFonts w:ascii="Times New Roman" w:hAnsi="Times New Roman"/>
          <w:sz w:val="14"/>
          <w:szCs w:val="14"/>
        </w:rPr>
        <w:t xml:space="preserve"> </w:t>
      </w:r>
      <w:r w:rsidRPr="005E1F8A">
        <w:rPr>
          <w:rFonts w:ascii="Times New Roman" w:hAnsi="Times New Roman"/>
          <w:sz w:val="24"/>
          <w:szCs w:val="24"/>
        </w:rPr>
        <w:t>Взаємодія з іншими надавачами медичних послуг для своєчасного та ефективного надання допомоги пацієнтам.</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7.</w:t>
      </w:r>
      <w:r w:rsidRPr="005E1F8A">
        <w:rPr>
          <w:rFonts w:ascii="Times New Roman" w:hAnsi="Times New Roman"/>
          <w:sz w:val="14"/>
          <w:szCs w:val="14"/>
        </w:rPr>
        <w:t xml:space="preserve"> </w:t>
      </w:r>
      <w:r w:rsidRPr="005E1F8A">
        <w:rPr>
          <w:rFonts w:ascii="Times New Roman" w:hAnsi="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8.</w:t>
      </w:r>
      <w:r w:rsidRPr="005E1F8A">
        <w:rPr>
          <w:rFonts w:ascii="Times New Roman" w:hAnsi="Times New Roman"/>
          <w:sz w:val="14"/>
          <w:szCs w:val="14"/>
        </w:rPr>
        <w:t xml:space="preserve"> </w:t>
      </w:r>
      <w:r w:rsidRPr="005E1F8A">
        <w:rPr>
          <w:rFonts w:ascii="Times New Roman" w:hAnsi="Times New Roman"/>
          <w:sz w:val="24"/>
          <w:szCs w:val="24"/>
        </w:rPr>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9.</w:t>
      </w:r>
      <w:r w:rsidRPr="005E1F8A">
        <w:rPr>
          <w:rFonts w:ascii="Times New Roman" w:hAnsi="Times New Roman"/>
          <w:sz w:val="14"/>
          <w:szCs w:val="14"/>
        </w:rPr>
        <w:t xml:space="preserve"> </w:t>
      </w:r>
      <w:r w:rsidRPr="005E1F8A">
        <w:rPr>
          <w:rFonts w:ascii="Times New Roman" w:hAnsi="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w:t>
      </w:r>
      <w:r w:rsidRPr="005E1F8A">
        <w:rPr>
          <w:rFonts w:ascii="Times New Roman" w:hAnsi="Times New Roman"/>
          <w:sz w:val="14"/>
          <w:szCs w:val="14"/>
        </w:rPr>
        <w:t xml:space="preserve"> </w:t>
      </w:r>
      <w:r w:rsidRPr="005E1F8A">
        <w:rPr>
          <w:rFonts w:ascii="Times New Roman" w:hAnsi="Times New Roman"/>
          <w:sz w:val="24"/>
          <w:szCs w:val="24"/>
        </w:rPr>
        <w:t>Наявність плану протиепідемічної готовності/реагування на випадок виявлення особливо небезпечних інфекційних хвороб.</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11.</w:t>
      </w:r>
      <w:r w:rsidRPr="005E1F8A">
        <w:rPr>
          <w:rFonts w:ascii="Times New Roman" w:hAnsi="Times New Roman"/>
          <w:sz w:val="14"/>
          <w:szCs w:val="14"/>
        </w:rPr>
        <w:t xml:space="preserve"> </w:t>
      </w:r>
      <w:r w:rsidRPr="005E1F8A">
        <w:rPr>
          <w:rFonts w:ascii="Times New Roman" w:hAnsi="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12.</w:t>
      </w:r>
      <w:r w:rsidRPr="005E1F8A">
        <w:rPr>
          <w:rFonts w:ascii="Times New Roman" w:hAnsi="Times New Roman"/>
          <w:sz w:val="14"/>
          <w:szCs w:val="14"/>
        </w:rPr>
        <w:t xml:space="preserve"> </w:t>
      </w:r>
      <w:r w:rsidRPr="005E1F8A">
        <w:rPr>
          <w:rFonts w:ascii="Times New Roman" w:hAnsi="Times New Roman"/>
          <w:sz w:val="24"/>
          <w:szCs w:val="24"/>
        </w:rPr>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13.</w:t>
      </w:r>
      <w:r w:rsidRPr="005E1F8A">
        <w:rPr>
          <w:rFonts w:ascii="Times New Roman" w:hAnsi="Times New Roman"/>
          <w:sz w:val="14"/>
          <w:szCs w:val="14"/>
        </w:rPr>
        <w:t xml:space="preserve"> </w:t>
      </w:r>
      <w:r w:rsidRPr="005E1F8A">
        <w:rPr>
          <w:rFonts w:ascii="Times New Roman" w:hAnsi="Times New Roman"/>
          <w:sz w:val="24"/>
          <w:szCs w:val="24"/>
        </w:rPr>
        <w:t>Забезпечення проведення постконтактної профілактики пацієнтам з інфекціями, що передаються статевим шляхом, у разі насильства за ознакою статі.</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14.</w:t>
      </w:r>
      <w:r w:rsidRPr="005E1F8A">
        <w:rPr>
          <w:rFonts w:ascii="Times New Roman" w:hAnsi="Times New Roman"/>
          <w:sz w:val="14"/>
          <w:szCs w:val="14"/>
        </w:rPr>
        <w:t xml:space="preserve"> </w:t>
      </w:r>
      <w:r w:rsidRPr="005E1F8A">
        <w:rPr>
          <w:rFonts w:ascii="Times New Roman" w:hAnsi="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15.</w:t>
      </w:r>
      <w:r w:rsidRPr="005E1F8A">
        <w:rPr>
          <w:rFonts w:ascii="Times New Roman" w:hAnsi="Times New Roman"/>
          <w:sz w:val="24"/>
          <w:szCs w:val="24"/>
          <w:lang w:val="uk-UA"/>
        </w:rPr>
        <w:t xml:space="preserve"> </w:t>
      </w:r>
      <w:r w:rsidRPr="005E1F8A">
        <w:rPr>
          <w:rFonts w:ascii="Times New Roman" w:hAnsi="Times New Roman"/>
          <w:sz w:val="24"/>
          <w:szCs w:val="24"/>
        </w:rPr>
        <w:t>Забезпечення надання медичної допомоги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16.</w:t>
      </w:r>
      <w:r w:rsidRPr="005E1F8A">
        <w:rPr>
          <w:rFonts w:ascii="Times New Roman" w:hAnsi="Times New Roman"/>
          <w:sz w:val="14"/>
          <w:szCs w:val="14"/>
        </w:rPr>
        <w:t xml:space="preserve">  </w:t>
      </w:r>
      <w:r w:rsidRPr="005E1F8A">
        <w:rPr>
          <w:rFonts w:ascii="Times New Roman" w:hAnsi="Times New Roman"/>
          <w:sz w:val="24"/>
          <w:szCs w:val="24"/>
        </w:rPr>
        <w:t>Забезпечення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17.</w:t>
      </w:r>
      <w:r w:rsidRPr="005E1F8A">
        <w:rPr>
          <w:rFonts w:ascii="Times New Roman" w:hAnsi="Times New Roman"/>
          <w:sz w:val="14"/>
          <w:szCs w:val="14"/>
        </w:rPr>
        <w:t xml:space="preserve"> </w:t>
      </w:r>
      <w:r w:rsidRPr="005E1F8A">
        <w:rPr>
          <w:rFonts w:ascii="Times New Roman" w:hAnsi="Times New Roman"/>
          <w:sz w:val="24"/>
          <w:szCs w:val="24"/>
        </w:rPr>
        <w:t xml:space="preserve">Забезпечення безкоштовного доступного функціонування електронної черги запису пацієнтів на планові консультації до спеціалістів, на процедури та/або планові лабораторні та інструментальні обстеження для надання послуг в межах визначених класів, за якими надавач уклав договір з НСЗУ (крім закладів, які не мають в своїй структурі амбулаторних підрозділів), із дотриманням таких вимог: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lastRenderedPageBreak/>
        <w:t>відкриття черги з надання послуг з визначеною кількістю місць на кожен день для запису на послуги в межах класів/сервісів має відбуватися щонайменше за 30 календарних днів;</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кількість місць для запису за визначеними сервісами та класами повинна відповідати спроможності закладу, тобто кількості лікарів-спеціалістів, які зареєстровані в ЕСОЗ і які надають медичну спеціалізовану допомогу відповідно до класу, кількості одиниць відповідного обладнання, функціональної потужності закладу;</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 xml:space="preserve">кількість місць для запису на прийом на кожен робочий день в межах сервісу “Консультування та лікування” має становити не менше ніж 10 пацієнтів із розрахунку на одного лікаря-спеціаліста, зареєстрованого в ЕСОЗ;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кількість місць для запису на прийом на кожен робочий день в межах сервісу «Процедури»  має становити не менше ніж 8 пацієнтів із розрахунку на одного лікаря-спеціаліста, зареєстрованого в ЕСОЗ;</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кількість місць для запису на обстеження на кожен робочий день в межах сервісу “Інструментальна діагностика” має становити не менше ніж: </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8 пацієнтів з розрахунку на один діагностичний апарат для класу </w:t>
      </w:r>
      <w:r w:rsidRPr="005E1F8A">
        <w:rPr>
          <w:rFonts w:ascii="Times New Roman" w:hAnsi="Times New Roman"/>
          <w:i/>
          <w:sz w:val="24"/>
          <w:szCs w:val="24"/>
        </w:rPr>
        <w:t>Магнітно-резонансна томографія</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8 пацієнтів з розрахунку на один діагностичний апарат</w:t>
      </w:r>
      <w:r w:rsidRPr="005E1F8A">
        <w:rPr>
          <w:rFonts w:ascii="Times New Roman" w:hAnsi="Times New Roman"/>
          <w:i/>
          <w:sz w:val="24"/>
          <w:szCs w:val="24"/>
        </w:rPr>
        <w:t xml:space="preserve"> для класу «Комп’ютерна томографія»</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15 пацієнтів з розрахунку на один діагностичний апарат</w:t>
      </w:r>
      <w:r w:rsidRPr="005E1F8A">
        <w:rPr>
          <w:rFonts w:ascii="Times New Roman" w:hAnsi="Times New Roman"/>
          <w:i/>
          <w:sz w:val="24"/>
          <w:szCs w:val="24"/>
        </w:rPr>
        <w:t xml:space="preserve"> для класу «Рентгенологічні дослідження»</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 пацієнтів з розрахунку на один діагностичний апарат для класу «</w:t>
      </w:r>
      <w:r w:rsidRPr="005E1F8A">
        <w:rPr>
          <w:rFonts w:ascii="Times New Roman" w:hAnsi="Times New Roman"/>
          <w:i/>
          <w:sz w:val="24"/>
          <w:szCs w:val="24"/>
        </w:rPr>
        <w:t>УЗД»</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 пацієнтів з розрахунку на один діагностичний апарат для класу</w:t>
      </w:r>
      <w:r w:rsidRPr="005E1F8A">
        <w:rPr>
          <w:rFonts w:ascii="Times New Roman" w:hAnsi="Times New Roman"/>
          <w:i/>
          <w:sz w:val="24"/>
          <w:szCs w:val="24"/>
        </w:rPr>
        <w:t xml:space="preserve"> «Клінічні інструментальні дослідження»</w:t>
      </w:r>
      <w:r w:rsidRPr="005E1F8A">
        <w:rPr>
          <w:rFonts w:ascii="Times New Roman" w:hAnsi="Times New Roman"/>
          <w:sz w:val="24"/>
          <w:szCs w:val="24"/>
        </w:rPr>
        <w: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кількість місць для запису на прийом на кожен день для надання медичної допомоги в межах сервісу “Лабораторна  діагностика” має становити не менше ніж 10  пацієнтів з розрахунку на кожен клас даного сервісу;</w:t>
      </w:r>
    </w:p>
    <w:p w:rsidR="00CC39F7" w:rsidRPr="005E1F8A" w:rsidRDefault="00CC39F7" w:rsidP="00CC39F7">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забезпечення можливості для запису пацієнтів по телефону медичним співробітником надавача медичних послуг.</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18.</w:t>
      </w:r>
      <w:r w:rsidRPr="005E1F8A">
        <w:rPr>
          <w:rFonts w:ascii="Times New Roman" w:hAnsi="Times New Roman"/>
          <w:sz w:val="14"/>
          <w:szCs w:val="14"/>
        </w:rPr>
        <w:t xml:space="preserve">  </w:t>
      </w:r>
      <w:r w:rsidRPr="005E1F8A">
        <w:rPr>
          <w:rFonts w:ascii="Times New Roman" w:hAnsi="Times New Roman"/>
          <w:sz w:val="24"/>
          <w:szCs w:val="24"/>
        </w:rPr>
        <w:t>Забезпечення функціонування  вебсайту надавача медичних послуг з оновленою актуальною інформацією щодо:</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детального переліку послуг, які надаються в межах пакету медичних послуг за сервісами та класами;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переліку спеціалістів та фахівців, які надають медичну допомогу в межах кожного класу послуг за кожним сервісом, а також  графіку їх роботи;</w:t>
      </w:r>
    </w:p>
    <w:p w:rsidR="00CC39F7" w:rsidRPr="005E1F8A" w:rsidRDefault="00CC39F7" w:rsidP="00CC39F7">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 xml:space="preserve">номерів телефонів реєстратури або інших осіб, які надають необхідну інформацію для пацієнта.  </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19. 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w:t>
      </w:r>
      <w:r w:rsidRPr="005E1F8A">
        <w:rPr>
          <w:rFonts w:ascii="Times New Roman" w:hAnsi="Times New Roman"/>
          <w:sz w:val="24"/>
          <w:szCs w:val="24"/>
        </w:rPr>
        <w:t xml:space="preserve"> </w:t>
      </w:r>
      <w:r w:rsidRPr="005E1F8A">
        <w:rPr>
          <w:rFonts w:ascii="Times New Roman" w:hAnsi="Times New Roman"/>
          <w:i/>
          <w:sz w:val="24"/>
          <w:szCs w:val="24"/>
        </w:rPr>
        <w:t>вимоги до організації надання послуги:</w:t>
      </w:r>
    </w:p>
    <w:p w:rsidR="00CC39F7" w:rsidRPr="005E1F8A" w:rsidRDefault="00CC39F7" w:rsidP="00CC39F7">
      <w:pPr>
        <w:numPr>
          <w:ilvl w:val="0"/>
          <w:numId w:val="2"/>
        </w:numPr>
        <w:pBdr>
          <w:top w:val="nil"/>
          <w:left w:val="nil"/>
          <w:bottom w:val="nil"/>
          <w:right w:val="nil"/>
          <w:between w:val="nil"/>
        </w:pBdr>
        <w:shd w:val="clear" w:color="auto" w:fill="FFFFFF"/>
        <w:spacing w:before="240"/>
        <w:ind w:left="0" w:firstLine="567"/>
        <w:jc w:val="both"/>
        <w:rPr>
          <w:rFonts w:ascii="Times New Roman" w:hAnsi="Times New Roman"/>
          <w:sz w:val="24"/>
          <w:szCs w:val="24"/>
        </w:rPr>
      </w:pPr>
      <w:r w:rsidRPr="005E1F8A">
        <w:rPr>
          <w:rFonts w:ascii="Times New Roman" w:hAnsi="Times New Roman"/>
          <w:sz w:val="24"/>
          <w:szCs w:val="24"/>
        </w:rPr>
        <w:t xml:space="preserve">Забезпечення надання цілодобової спеціалізованої медичної допомоги пацієнтам під час перебування їх в приймальному відділенні/відділенні екстреної та невідкладної </w:t>
      </w:r>
      <w:r w:rsidRPr="005E1F8A">
        <w:rPr>
          <w:rFonts w:ascii="Times New Roman" w:hAnsi="Times New Roman"/>
          <w:sz w:val="24"/>
          <w:szCs w:val="24"/>
        </w:rPr>
        <w:lastRenderedPageBreak/>
        <w:t>допомоги/травмпункті в кластерному або надкластерному  закладі охорони здоров'я (ЗОЗ). Стосується пацієнтів, які:</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переведені в інший ЗОЗ після стабілізації стану (без госпіталізації пацієнтів);</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померли після доставлення їх у приймальне відділення/відділення екстреної та невідкладної допомоги/травмпункт;</w:t>
      </w:r>
    </w:p>
    <w:p w:rsidR="00CC39F7" w:rsidRPr="005E1F8A" w:rsidRDefault="00CC39F7" w:rsidP="00CC39F7">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залишили ЗОЗ  після надання їм медичної допомоги.</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2.</w:t>
      </w:r>
      <w:r w:rsidRPr="005E1F8A">
        <w:rPr>
          <w:rFonts w:ascii="Times New Roman" w:hAnsi="Times New Roman"/>
          <w:sz w:val="14"/>
          <w:szCs w:val="14"/>
        </w:rPr>
        <w:t xml:space="preserve"> </w:t>
      </w:r>
      <w:r w:rsidRPr="005E1F8A">
        <w:rPr>
          <w:rFonts w:ascii="Times New Roman" w:hAnsi="Times New Roman"/>
          <w:sz w:val="24"/>
          <w:szCs w:val="24"/>
        </w:rPr>
        <w:t>Забезпечення цілодобового проведення лабораторних та інструментальних досліджень, визначених специфікацією.</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спеціалістів та кількості фахівців, які працюють на посадах:</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 (сервіс «Консультування та лікування», «Процедури»):</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heme="minorHAnsi" w:eastAsia="Times" w:hAnsiTheme="minorHAnsi" w:cs="Times"/>
          <w:sz w:val="24"/>
          <w:szCs w:val="24"/>
          <w:lang w:val="uk-UA"/>
        </w:rPr>
      </w:pPr>
      <w:r w:rsidRPr="005E1F8A">
        <w:rPr>
          <w:rFonts w:ascii="Times New Roman" w:hAnsi="Times New Roman"/>
          <w:sz w:val="24"/>
          <w:szCs w:val="24"/>
        </w:rPr>
        <w:t xml:space="preserve">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w:t>
      </w:r>
      <w:r w:rsidRPr="005E1F8A">
        <w:rPr>
          <w:rFonts w:ascii="Times New Roman" w:hAnsi="Times New Roman"/>
          <w:sz w:val="24"/>
          <w:szCs w:val="24"/>
          <w:highlight w:val="white"/>
        </w:rPr>
        <w:t>лікар-дерматолог-хірург</w:t>
      </w:r>
      <w:r w:rsidRPr="005E1F8A">
        <w:rPr>
          <w:rFonts w:ascii="Roboto" w:eastAsia="Roboto" w:hAnsi="Roboto" w:cs="Roboto"/>
          <w:sz w:val="21"/>
          <w:szCs w:val="21"/>
          <w:highlight w:val="white"/>
        </w:rPr>
        <w:t xml:space="preserve">, </w:t>
      </w:r>
      <w:r w:rsidRPr="005E1F8A">
        <w:rPr>
          <w:rFonts w:ascii="Times New Roman" w:hAnsi="Times New Roman"/>
          <w:sz w:val="24"/>
          <w:szCs w:val="24"/>
        </w:rPr>
        <w:t>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лікар-кардіоревматолог дитячий, та/або лікар-комбустіолог, та/або лікар-нарколог, та/або лікар-нарколог дільничний,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лікар-профпатолог, та/або лікар-психіатр, та/або лікар-психіатр дитячий, та/або лікар-психіатр підлітковий, та/або лікар-психолог, та/або лікар-психотерапевт, та/або лікар-пульмонолог, та/або лікар-пульмонолог дитячий, та/або лікар-ревматолог, та/або лікар-ревматолог дитячий, та/або лікар-рефлексотерапевт, та/або лікар-сурдолог, та/або лікар-терапевт, та/або лікар-терапевт підлітковий, та/або лікар-токсиколог, та/або лікар-уролог, та/або лікар-уролог дитячий, та/або лікар-фізіотерапевт,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 з лікувальної фізкультури і спортивної медицини, та/або лікар з лікувальної фізкультури, та/або лікар-хірург щелепно-лицевий, та/або лікар-трансплантолог, та/або лікар приймальної палати (відділення), та/або лікар з медицини невідкладних станів,</w:t>
      </w:r>
      <w:r w:rsidRPr="005E1F8A">
        <w:rPr>
          <w:rFonts w:ascii="Roboto" w:eastAsia="Roboto" w:hAnsi="Roboto" w:cs="Roboto"/>
          <w:sz w:val="21"/>
          <w:szCs w:val="21"/>
        </w:rPr>
        <w:t xml:space="preserve"> </w:t>
      </w:r>
      <w:r w:rsidRPr="005E1F8A">
        <w:rPr>
          <w:rFonts w:ascii="Times New Roman" w:hAnsi="Times New Roman"/>
          <w:sz w:val="24"/>
          <w:szCs w:val="24"/>
        </w:rPr>
        <w:t xml:space="preserve">та/або лікар з радіаційної онкології та/або лікар з ядерної медицини та/або клінічний психолог – щонайменше 8 осіб із зазначеного переліку, які працюють за основним місцем роботи в цьому ЗОЗ, </w:t>
      </w:r>
      <w:r w:rsidRPr="005E1F8A">
        <w:rPr>
          <w:rFonts w:ascii="Times" w:eastAsia="Times" w:hAnsi="Times" w:cs="Times"/>
          <w:sz w:val="24"/>
          <w:szCs w:val="24"/>
        </w:rPr>
        <w:t>відповідно до  класу/ів сервісу/ів.</w:t>
      </w:r>
      <w:r w:rsidRPr="005E1F8A">
        <w:rPr>
          <w:rFonts w:asciiTheme="minorHAnsi" w:eastAsia="Times" w:hAnsiTheme="minorHAnsi" w:cs="Times"/>
          <w:sz w:val="24"/>
          <w:szCs w:val="24"/>
          <w:lang w:val="uk-UA"/>
        </w:rPr>
        <w:t xml:space="preserve"> </w:t>
      </w:r>
      <w:r w:rsidRPr="005E1F8A">
        <w:rPr>
          <w:rFonts w:ascii="Times New Roman" w:eastAsia="Times" w:hAnsi="Times New Roman"/>
          <w:sz w:val="24"/>
          <w:szCs w:val="24"/>
        </w:rPr>
        <w:t>Для закладів охорони здоров’я державної форми власності - щонайменше 5 осіб із зазначеного переліку, які працюють за основним місцем роботи в цьому ЗОЗ або за сумісництвом, відповідно до  класу/ів сервісу/ів.</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Cs/>
          <w:sz w:val="24"/>
          <w:szCs w:val="24"/>
        </w:rPr>
      </w:pPr>
      <w:r w:rsidRPr="005E1F8A">
        <w:rPr>
          <w:rFonts w:ascii="Times New Roman" w:hAnsi="Times New Roman"/>
          <w:sz w:val="24"/>
          <w:szCs w:val="24"/>
        </w:rPr>
        <w:lastRenderedPageBreak/>
        <w:t>b. Сестра медична (брат медичний) та/або фельдшер з медицини невідкладних станів</w:t>
      </w:r>
      <w:r w:rsidRPr="005E1F8A">
        <w:rPr>
          <w:rFonts w:ascii="Roboto" w:eastAsia="Roboto" w:hAnsi="Roboto" w:cs="Roboto"/>
          <w:sz w:val="21"/>
          <w:szCs w:val="21"/>
        </w:rPr>
        <w:t xml:space="preserve"> </w:t>
      </w:r>
      <w:r w:rsidRPr="005E1F8A">
        <w:rPr>
          <w:rFonts w:ascii="Times New Roman" w:hAnsi="Times New Roman"/>
          <w:sz w:val="24"/>
          <w:szCs w:val="24"/>
        </w:rPr>
        <w:t>– щонайменше 8 осіб, які працюють за основним місцем роботи в цьому ЗОЗ.</w:t>
      </w:r>
      <w:r w:rsidRPr="005E1F8A">
        <w:rPr>
          <w:rFonts w:ascii="Times New Roman" w:hAnsi="Times New Roman"/>
          <w:i/>
          <w:sz w:val="24"/>
          <w:szCs w:val="24"/>
        </w:rPr>
        <w:t xml:space="preserve"> </w:t>
      </w:r>
      <w:r w:rsidRPr="005E1F8A">
        <w:rPr>
          <w:rFonts w:ascii="Times New Roman" w:hAnsi="Times New Roman"/>
          <w:iCs/>
          <w:sz w:val="24"/>
          <w:szCs w:val="24"/>
        </w:rPr>
        <w:t>Для закладів охорони здоров’я державної форми власності - щонайменше 3 особи із зазначеного переліку, які працюють за основним місцем роботи в цьому ЗОЗ або за сумісництвом.</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lang w:val="uk-UA"/>
        </w:rPr>
      </w:pPr>
      <w:r w:rsidRPr="005E1F8A">
        <w:rPr>
          <w:rFonts w:ascii="Times New Roman" w:hAnsi="Times New Roman"/>
          <w:sz w:val="24"/>
          <w:szCs w:val="24"/>
        </w:rPr>
        <w:t>2. У ЗОЗ (сервіс «Лабораторна діагностика»):</w:t>
      </w:r>
      <w:bookmarkStart w:id="3" w:name="_Hlk214814382"/>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Лікар-лаборант та/або лікар-лаборант-імунолог, та/або імунолог, та/або лікар-лаборант з клінічної біохімії, та/або лікар-лаборант-генетик, та/або генетик, та/або бактеріолог, та/або біохімік, та/або вірусолог, та/або лікар-мікробіолог-вірусолог, та/або лікар-бактеріолог,</w:t>
      </w:r>
      <w:r w:rsidRPr="005E1F8A">
        <w:rPr>
          <w:rFonts w:ascii="Times New Roman" w:hAnsi="Times New Roman"/>
          <w:i/>
          <w:sz w:val="24"/>
          <w:szCs w:val="24"/>
        </w:rPr>
        <w:t xml:space="preserve"> </w:t>
      </w:r>
      <w:r w:rsidRPr="005E1F8A">
        <w:rPr>
          <w:rFonts w:ascii="Times New Roman" w:hAnsi="Times New Roman"/>
          <w:sz w:val="24"/>
          <w:szCs w:val="24"/>
        </w:rPr>
        <w:t>та/або цитоморфолог, та/або лікар-паразитолог</w:t>
      </w:r>
      <w:r w:rsidRPr="005E1F8A">
        <w:rPr>
          <w:rFonts w:ascii="Roboto" w:eastAsia="Roboto" w:hAnsi="Roboto" w:cs="Roboto"/>
          <w:i/>
          <w:sz w:val="21"/>
          <w:szCs w:val="21"/>
        </w:rPr>
        <w:t xml:space="preserve"> </w:t>
      </w:r>
      <w:r w:rsidRPr="005E1F8A">
        <w:rPr>
          <w:rFonts w:ascii="Times New Roman" w:hAnsi="Times New Roman"/>
          <w:i/>
          <w:sz w:val="24"/>
          <w:szCs w:val="24"/>
        </w:rPr>
        <w:t xml:space="preserve">- </w:t>
      </w:r>
      <w:r w:rsidRPr="005E1F8A">
        <w:rPr>
          <w:rFonts w:ascii="Times New Roman" w:hAnsi="Times New Roman"/>
          <w:sz w:val="24"/>
          <w:szCs w:val="24"/>
        </w:rPr>
        <w:t>щонайменше 1 особа із зазначеного переліку, яка працює за основним місцем роботи в цьому ЗОЗ.</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 xml:space="preserve">Лаборант з бактеріології та/або лаборант (медицина), та/або фельдшер-лаборант, та/або лаборант клініко-діагностичної лабораторії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які працюють або за основним місцем роботи в цьому ЗОЗ, або за сумісництвом.</w:t>
      </w:r>
      <w:r w:rsidRPr="005E1F8A">
        <w:rPr>
          <w:rFonts w:ascii="Times New Roman" w:hAnsi="Times New Roman"/>
          <w:sz w:val="24"/>
          <w:szCs w:val="24"/>
          <w:lang w:val="uk-UA"/>
        </w:rPr>
        <w:t xml:space="preserve"> </w:t>
      </w:r>
      <w:r w:rsidRPr="005E1F8A">
        <w:rPr>
          <w:rFonts w:ascii="Times New Roman" w:hAnsi="Times New Roman"/>
          <w:sz w:val="24"/>
          <w:szCs w:val="24"/>
        </w:rPr>
        <w:t>Для закладів охорони здоров’я державної форми власності - щонайменше 1 особа із зазначеного переліку, які працюють за основним місцем роботи в цьому ЗОЗ або за сумісництвом.</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3. У ЗОЗ (сервіс «Інструментальна діагностика»):</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 xml:space="preserve">Лікар з радіаційної онкології та/або лікар-психофізіолог, та/або лікар-радіолог, та/або лікар з функціональної діагностики, та/або лікар-кардіолог-електрофізіолог, та/або лікар-трансфузіолог, та/або лікар з ультразвукової діагностики, та/або лікар-рентгенолог, та/або лікар з ядерної медицини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1 з яких за основним місцем роботи в цьому ЗОЗ, та 1 або за основним місцем роботи в цьому ЗОЗ, або сумісництвом.</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 xml:space="preserve">Рентгенолаборант та/або сестра медична з функціональної діагностики, та/або сестра медична (брат медичний)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які працюють або за основним місцем роботи в цьому ЗОЗ, або за сумісництвом.</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lang w:val="uk-UA"/>
        </w:rPr>
        <w:t>Для закладів охорони здоров’я державної форми власності, які надають послуги з  конусно-променевої комп’ютерної томографії щелепно-лицевої ділянки (стоматологічна КТ, CBCT):</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lang w:val="en-US"/>
        </w:rPr>
        <w:t>a.</w:t>
      </w:r>
      <w:r w:rsidRPr="005E1F8A">
        <w:rPr>
          <w:rFonts w:ascii="Times New Roman" w:hAnsi="Times New Roman"/>
          <w:sz w:val="24"/>
          <w:szCs w:val="24"/>
          <w:lang w:val="uk-UA"/>
        </w:rPr>
        <w:t xml:space="preserve">Рентгенолаборант та/або сестра медична з функціональної діагностики, та/або сестра медична (брат медичний) </w:t>
      </w:r>
      <w:r w:rsidRPr="005E1F8A">
        <w:rPr>
          <w:rFonts w:ascii="Times New Roman" w:hAnsi="Times New Roman"/>
          <w:i/>
          <w:iCs/>
          <w:sz w:val="24"/>
          <w:szCs w:val="24"/>
          <w:lang w:val="uk-UA"/>
        </w:rPr>
        <w:t xml:space="preserve">- </w:t>
      </w:r>
      <w:r w:rsidRPr="005E1F8A">
        <w:rPr>
          <w:rFonts w:ascii="Times New Roman" w:hAnsi="Times New Roman"/>
          <w:sz w:val="24"/>
          <w:szCs w:val="24"/>
          <w:lang w:val="uk-UA"/>
        </w:rPr>
        <w:t>щонайменше 1 особа із зазначеного переліку, які працюють або за основним місцем роботи в цьому ЗОЗ, або за сумісництвом.</w:t>
      </w:r>
    </w:p>
    <w:p w:rsidR="00CC39F7" w:rsidRPr="005E1F8A" w:rsidRDefault="00CC39F7" w:rsidP="00CC39F7">
      <w:pPr>
        <w:keepNext/>
        <w:keepLines/>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вимоги до спеціалістів та кількості фахівців, які працюють на посадах:</w:t>
      </w:r>
    </w:p>
    <w:p w:rsidR="00CC39F7" w:rsidRPr="005E1F8A" w:rsidRDefault="00CC39F7" w:rsidP="00CC39F7">
      <w:pPr>
        <w:keepNext/>
        <w:keepLines/>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lang w:val="uk-UA"/>
        </w:rPr>
      </w:pPr>
      <w:r w:rsidRPr="005E1F8A">
        <w:rPr>
          <w:rFonts w:ascii="Times New Roman" w:hAnsi="Times New Roman"/>
          <w:sz w:val="24"/>
          <w:szCs w:val="24"/>
        </w:rPr>
        <w:t>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лікар-кардіоревматолог дитячий, та/або лікар-</w:t>
      </w:r>
      <w:r w:rsidRPr="005E1F8A">
        <w:rPr>
          <w:rFonts w:ascii="Times New Roman" w:hAnsi="Times New Roman"/>
          <w:sz w:val="24"/>
          <w:szCs w:val="24"/>
        </w:rPr>
        <w:lastRenderedPageBreak/>
        <w:t>комбустіолог, та/або лікар-нарколог,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лікар-психіатр, та/або лікар-психіатр дитячий, та/або лікар-психіатр підлітковий, та/або лікар-пульмонолог, та/або лікар-пульмонолог дитячий, та/або лікар-ревматолог, та/або лікар-ревматолог дитячий, та/або лікар-терапевт, та/або лікар-терапевт підлітковий, та/або лікар-токсиколог, та/або лікар з ультразвукової діагностики, та/або лікар-уролог, та/або лікар-уролог дитячий, та/або лікар-фізіотерапевт, та/або лікар з функціональної діагностики,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лікар-хірург щелепно-лицевий, та/або лікар з медицини невідкладних станів – щонайменше 4 особи додатково до основного переліку, які працюють за основним місцем роботи в цьому ЗОЗ.</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b. Сестра медична (брат медичний) та/або фельдшер з медицини невідкладних станів – щонайменше 4 особи додатково до основного переліку, які працюють за основним місцем роботи в цьому ЗОЗ.</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переліку обладнання:</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 (сервіс «Консультування та лікування»):</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електрокардіограф багатоканальний;</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УЗД апарат;</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портативний дефібрилятор з функцією синхронізації;</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ваги медичні з ростоміром (або ваги для новонароджених і дітей раннього віку);</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аптечка для надання невідкладної допомоги;</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мішок ручної вентиляції легенів;</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глюкометр;</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термометр безконтактний;</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пульсоксиметр;</w:t>
      </w:r>
    </w:p>
    <w:p w:rsidR="00CC39F7" w:rsidRPr="005E1F8A" w:rsidRDefault="00CC39F7" w:rsidP="00CC39F7">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тонометр та/або тонометр педіатричний з манжетками для дітей різного віку.</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2. У ЗОЗ (сервіс «Інструментальна діагностика»):</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рентгенівської комп'ютерної томографії та/або система магнітно-резонансної томографії у ЗОЗ (за умови виконання даного класу послуг);</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b. система рентгенівська діагностична або стоматологічна рентгенівська система (стоматологічний комп’ютерний томограф) - для закладів охорони здоро’я державної форми власності(за умови виконання даного класу послуг). </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3. У ЗОЗ за умови надання послуг за сервісом «Процедури» для класу «Амбулаторна хірургія», «Анестезіологічне забезпечення», «Інтервенційна візуалізація»:</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система централізованого постачання кисню з джерелом медичного кисню  (центральний кисневий пункт та/або киснево-газифікаційна станція та/або кисневий/і </w:t>
      </w:r>
      <w:r w:rsidRPr="005E1F8A">
        <w:rPr>
          <w:rFonts w:ascii="Times New Roman" w:hAnsi="Times New Roman"/>
        </w:rPr>
        <w:lastRenderedPageBreak/>
        <w:t>концентратор/и), або кисневий концентратор, що здатний підтримувати швидкість потоку кисню щонайменше 10 л/хв;</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моніторингу фізіологічних показників одного пацієнта (неінвазивний АТ, ЧСС, ЕКГ, SpO2, t);</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highlight w:val="white"/>
        </w:rPr>
      </w:pPr>
      <w:r w:rsidRPr="005E1F8A">
        <w:rPr>
          <w:rFonts w:ascii="Times New Roman" w:hAnsi="Times New Roman"/>
          <w:highlight w:val="white"/>
        </w:rPr>
        <w:t>наркозно/дихальний апарат за умови класу анестезіологічне забезпечення;</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портативний дефібрилятор з функцією синхронізації;</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ларингоскоп з набором клинків;</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highlight w:val="white"/>
        </w:rPr>
      </w:pPr>
      <w:r w:rsidRPr="005E1F8A">
        <w:rPr>
          <w:rFonts w:ascii="Times New Roman" w:hAnsi="Times New Roman"/>
          <w:highlight w:val="white"/>
        </w:rPr>
        <w:t>автоматичний дозатор лікувальних речовин;</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аспіратор (відсмоктувач);</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мішок ручної вентиляції легенів;</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тонометр;</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пульсоксиметр;</w:t>
      </w:r>
    </w:p>
    <w:p w:rsidR="00CC39F7" w:rsidRPr="005E1F8A" w:rsidRDefault="00CC39F7" w:rsidP="00CC39F7">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аптечка для надання невідкладної допомоги.</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вимоги до переліку обладнання:</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рентгенівська діагностична;</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рентгенівської комп'ютерної томографії або система магнітно-резонансної томографії у ЗОЗ або на умовах оренди, або договору підряду,або на інших умовах  користування;</w:t>
      </w:r>
    </w:p>
    <w:p w:rsidR="00CC39F7" w:rsidRPr="005E1F8A" w:rsidRDefault="00CC39F7" w:rsidP="00CC39F7">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c.</w:t>
      </w:r>
      <w:r w:rsidRPr="005E1F8A">
        <w:rPr>
          <w:rFonts w:ascii="Times New Roman" w:hAnsi="Times New Roman"/>
          <w:sz w:val="14"/>
          <w:szCs w:val="14"/>
        </w:rPr>
        <w:t xml:space="preserve"> </w:t>
      </w:r>
      <w:r w:rsidRPr="005E1F8A">
        <w:rPr>
          <w:rFonts w:ascii="Times New Roman" w:hAnsi="Times New Roman"/>
          <w:sz w:val="24"/>
          <w:szCs w:val="24"/>
        </w:rPr>
        <w:t>гнучкий відеогастроскоп та/або гнучкий відеоколоноскоп, та/або гнучкий відеобронхоскоп, та/або відеоцистоскоп, та/або відеогістероскоп.</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2. За місцем надання медичних послуг:</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неінвазивна система вентиляції легенів (BIPAP/CPAP) та комплект масок для CPAP-терапії;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ультразвукової візуалізації портативна;</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глюкометр;</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електрокардіограф багатоканальний;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ларингоскоп з набором клинків;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набір (укладка) для реанімації;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портативний дефібрилятор з функцією синхронізації;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система моніторингу фізіологічних показників одного пацієнта (неінвазивний АТ, ЧСС, ЕКГ, SpO2, t); </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мішок ручної вентиляції легенів;</w:t>
      </w:r>
    </w:p>
    <w:p w:rsidR="00CC39F7" w:rsidRPr="005E1F8A" w:rsidRDefault="00CC39F7" w:rsidP="00CC39F7">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аспіратор.</w:t>
      </w:r>
    </w:p>
    <w:p w:rsidR="00CC39F7" w:rsidRPr="005E1F8A" w:rsidRDefault="00CC39F7" w:rsidP="00CC39F7">
      <w:pPr>
        <w:pBdr>
          <w:top w:val="nil"/>
          <w:left w:val="nil"/>
          <w:bottom w:val="nil"/>
          <w:right w:val="nil"/>
          <w:between w:val="nil"/>
        </w:pBdr>
        <w:shd w:val="clear" w:color="auto" w:fill="FFFFFF"/>
        <w:spacing w:before="240"/>
        <w:ind w:firstLine="567"/>
        <w:jc w:val="both"/>
        <w:rPr>
          <w:rFonts w:ascii="Times New Roman" w:hAnsi="Times New Roman"/>
          <w:i/>
          <w:sz w:val="24"/>
          <w:szCs w:val="24"/>
        </w:rPr>
      </w:pPr>
      <w:bookmarkStart w:id="4" w:name="_heading=h.tg5875svb6h1" w:colFirst="0" w:colLast="0"/>
      <w:bookmarkEnd w:id="4"/>
      <w:r w:rsidRPr="005E1F8A">
        <w:rPr>
          <w:rFonts w:ascii="Times New Roman" w:hAnsi="Times New Roman"/>
          <w:i/>
          <w:sz w:val="24"/>
          <w:szCs w:val="24"/>
        </w:rPr>
        <w:t>Інші вимоги:</w:t>
      </w:r>
    </w:p>
    <w:p w:rsidR="00CC39F7" w:rsidRPr="005E1F8A" w:rsidRDefault="00CC39F7" w:rsidP="00CC39F7">
      <w:pPr>
        <w:numPr>
          <w:ilvl w:val="0"/>
          <w:numId w:val="3"/>
        </w:numPr>
        <w:pBdr>
          <w:top w:val="nil"/>
          <w:left w:val="nil"/>
          <w:bottom w:val="nil"/>
          <w:right w:val="nil"/>
          <w:between w:val="nil"/>
        </w:pBdr>
        <w:shd w:val="clear" w:color="auto" w:fill="FFFFFF"/>
        <w:spacing w:before="120" w:line="240" w:lineRule="auto"/>
        <w:ind w:left="0" w:firstLine="567"/>
        <w:rPr>
          <w:rFonts w:ascii="Times New Roman" w:hAnsi="Times New Roman"/>
          <w:sz w:val="24"/>
          <w:szCs w:val="24"/>
        </w:rPr>
      </w:pPr>
      <w:r w:rsidRPr="005E1F8A">
        <w:rPr>
          <w:rFonts w:ascii="Times New Roman" w:hAnsi="Times New Roman"/>
          <w:sz w:val="24"/>
          <w:szCs w:val="24"/>
        </w:rPr>
        <w:t>Наявність ліцензії на провадження господарської діяльності з медичної практики.</w:t>
      </w:r>
    </w:p>
    <w:bookmarkEnd w:id="2"/>
    <w:p w:rsidR="00CC39F7" w:rsidRDefault="00CC39F7" w:rsidP="00CC39F7">
      <w:pPr>
        <w:pBdr>
          <w:top w:val="nil"/>
          <w:left w:val="nil"/>
          <w:bottom w:val="nil"/>
          <w:right w:val="nil"/>
          <w:between w:val="nil"/>
        </w:pBdr>
        <w:spacing w:before="480" w:after="120"/>
        <w:jc w:val="center"/>
        <w:rPr>
          <w:rFonts w:ascii="Times New Roman" w:hAnsi="Times New Roman"/>
          <w:b/>
          <w:color w:val="000000"/>
          <w:sz w:val="24"/>
          <w:szCs w:val="24"/>
        </w:rPr>
      </w:pPr>
      <w:r>
        <w:rPr>
          <w:rFonts w:ascii="Times New Roman" w:hAnsi="Times New Roman"/>
          <w:b/>
          <w:color w:val="000000"/>
          <w:sz w:val="24"/>
          <w:szCs w:val="24"/>
        </w:rPr>
        <w:lastRenderedPageBreak/>
        <w:t>Додаток 1. Перелік лабораторних досліджень, включених до класів сервісу «Лабораторна діагностика»</w:t>
      </w:r>
    </w:p>
    <w:p w:rsidR="00CC39F7" w:rsidRPr="00BE0C42" w:rsidRDefault="00CC39F7" w:rsidP="00CC39F7">
      <w:pPr>
        <w:pStyle w:val="ab"/>
        <w:numPr>
          <w:ilvl w:val="3"/>
          <w:numId w:val="3"/>
        </w:numPr>
        <w:shd w:val="clear" w:color="auto" w:fill="FFFFFF"/>
        <w:ind w:left="0" w:firstLine="567"/>
        <w:jc w:val="both"/>
        <w:rPr>
          <w:rFonts w:ascii="Times New Roman" w:hAnsi="Times New Roman"/>
        </w:rPr>
      </w:pPr>
      <w:r w:rsidRPr="00BE0C42">
        <w:rPr>
          <w:rFonts w:ascii="Times New Roman" w:hAnsi="Times New Roman"/>
          <w:b/>
          <w:i/>
        </w:rPr>
        <w:t xml:space="preserve">Клас «Гематологія» </w:t>
      </w:r>
      <w:r w:rsidRPr="00BE0C42">
        <w:rPr>
          <w:rFonts w:ascii="Times New Roman" w:hAnsi="Times New Roman"/>
          <w:b/>
        </w:rPr>
        <w:t>- проведення гематологічних досліджень (гемоглобін та його сполуки, клітини крові, кістковий мозок):</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загальний аналіз крові, ретикулоцити (визначення кількості гемоглобіну в ретикулоцитах, підрахунок відносної кількості фракцій ретикулоцитів за ступенем зрілості); розрахунок еритроцитарних індексів (середнього об'єму еритроцитів (MCV), середньої концентрації гемоглобіну в еритроцитах (MCHС), вмісту гемоглобіну в еритроциті (МСН), ширини розподілу еритроцитів за об’ємом (RDW), розподіл еритроцитів за об’ємом (крива Прайс-Джонса), тромбоцити та розрахунок індексів (MPV, PCT, PDW), морфологічна оцінка тромбоцитів, еритроцитів, визначення абсолютної та відносної кількості лімфоцитів, моноцитів, нейтрофілів, еозинофілів, базофілів;</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гемолізу (визначення осмотичної резистентності еритроцитів, глюкоза-6-фосфат дегідрогенази гемолізаті еритроцитів, піруваткінази в сироватці крові (для дітей віком до 18 років), в гемолізаті еритроцитів);</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групи крові - ABO та Rh (антиген D);</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імуногематологічні дослідження (антигенна система еритроцитів, групування крові - резус-фенотипи, система антигенів Kell, система Даффи);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антитіла до Rh та інших груп крові у сироватці крові (включаючи ідентифікацію та кількісне визначення  виявлених антитіл);</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аутоантитіл до еритроцитів в цільній крові;</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неповних антиеритроцитарних антитіл класу IgG, фіксованих на еритроцитах, в цільній крові (пряма проба Кумбса), скринінг неповних антиеритроцитарних антитіл класу IgG в цільній крові (непряма проба Кумбса);</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дериватів гемоглобіну (метгемоглобіну, оксигемоглобіну, дезоксигемоглобіну);</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коагуляційний гемостаз (час згортання нестабілізованої крові, протромбіновий час, тромбіновий час, активований частковий (парціальний) тромбопластиновий час (АЧТЧ, АПТЧ), фібриноген, міжнародне нормалізоване відношення (МНВ), аутокоагуляційний тест в плазмі крові); продуктів деградації фібрину (Д-дімер);</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міцності згустку в цільній крові та оцінка його в′язко-еластичних властивостей методом тромбоеластометрії;</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факторів ІІ, V, VII, VIII,IX, X, XI (для дітей віком до 18 років)</w:t>
      </w:r>
      <w:r>
        <w:rPr>
          <w:rFonts w:ascii="Times New Roman" w:hAnsi="Times New Roman"/>
          <w:sz w:val="16"/>
          <w:szCs w:val="16"/>
        </w:rPr>
        <w:t xml:space="preserve">; </w:t>
      </w:r>
      <w:r>
        <w:rPr>
          <w:rFonts w:ascii="Times New Roman" w:hAnsi="Times New Roman"/>
          <w:sz w:val="24"/>
          <w:szCs w:val="24"/>
        </w:rPr>
        <w:t xml:space="preserve"> </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циркулюючих антикоагулянтів (антитромбіну ІІІ, активності протеїну С, вільного протеїну S, антикоагулянтів вовчакового типу (скринінговий, підтверджуючий тест) в плазмі крові, активність альфа-2-антиплазміну в плазмі крові;</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плазмінової (фібринолітичної) системи: визначення активності плазміногену, розчинних фібрин-мономерних комплексів;</w:t>
      </w:r>
    </w:p>
    <w:p w:rsidR="00CC39F7" w:rsidRDefault="00CC39F7" w:rsidP="00CC39F7">
      <w:pPr>
        <w:shd w:val="clear" w:color="auto" w:fill="FFFFFF"/>
        <w:spacing w:after="240"/>
        <w:ind w:firstLine="567"/>
        <w:jc w:val="both"/>
        <w:rPr>
          <w:rFonts w:ascii="Times New Roman" w:hAnsi="Times New Roman"/>
          <w:sz w:val="24"/>
          <w:szCs w:val="24"/>
        </w:rPr>
      </w:pPr>
      <w:r>
        <w:rPr>
          <w:rFonts w:ascii="Times New Roman" w:hAnsi="Times New Roman"/>
          <w:sz w:val="24"/>
          <w:szCs w:val="24"/>
        </w:rPr>
        <w:t>підрахунок кількості клітинних елементів кісткового мозку з їх морфологічною характеристикою та індексів кістковомозкового кровотворення.</w:t>
      </w:r>
    </w:p>
    <w:p w:rsidR="00CC39F7" w:rsidRDefault="00CC39F7" w:rsidP="00CC39F7">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2. </w:t>
      </w:r>
      <w:r>
        <w:rPr>
          <w:rFonts w:ascii="Times New Roman" w:hAnsi="Times New Roman"/>
          <w:b/>
          <w:i/>
          <w:sz w:val="24"/>
          <w:szCs w:val="24"/>
        </w:rPr>
        <w:t>Клас «Біохімія»</w:t>
      </w:r>
      <w:r>
        <w:rPr>
          <w:rFonts w:ascii="Times New Roman" w:hAnsi="Times New Roman"/>
          <w:b/>
          <w:sz w:val="24"/>
          <w:szCs w:val="24"/>
        </w:rPr>
        <w:t xml:space="preserve"> - проведення біохімічних досліджень:</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в сироватці, плазмі, сечі або інших рідинах організму (крім амніотичної рідини): кислої фосфатази, аланінамінотрансферази, альбуміну, лужної фосфатази, амоній (аміак), амілази, аспартатамінотрансфераза, бікарбонат, білірубін (загальний), білірубін (будь-які фракції), кальцій (загальний або скоригований на альбумін), креатинкіназа, креатинін, гамма-глутамілтрансфераза, глобулін, глюкоза, </w:t>
      </w:r>
      <w:r w:rsidRPr="00495841">
        <w:rPr>
          <w:rFonts w:ascii="Times New Roman" w:hAnsi="Times New Roman"/>
          <w:sz w:val="24"/>
          <w:szCs w:val="24"/>
        </w:rPr>
        <w:lastRenderedPageBreak/>
        <w:t>лактатдегідрогеназа, ліпаза, магній, фосфат, калій, натрій, загальний білок, урати, сечовина, лактат, хлориди, сечова кислота;</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кліренсу по ендогенному креатиніну;</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вимірювання ізоферментів креатинкінази, тропоніну або міоглобіну в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іонізований кальцій;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ліпідний профіль: тригліцериди, загальний холестерин, ліпопротеїди низької щільності (ЛПНЩ), ліпопротеїди високої щільності (ЛПВЩ) в сироватці крові, розрахунок індексу атерогенності;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ліпіди  в клітинах крові та кісткового мозку;</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толерантність до глюкози, глікозильований гемоглобін, фруктозамін, HbA1c (глікований гемоглобін);</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індекс HOMA;</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глікоген в клітинах крові та кісткового мозку;</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активність неспецифічної естерази в клітинах крові та кісткового мозку(ANAE);</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активність α-нафтилацетатестерази та її чутливості до фториду натрію;</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бета-2-мікроглобулін — кількісне визначення в сироватці; </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осмолярність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кислотно лужний склад крові: гази крові (парціальний тиск кисню рО2, ступінь насичення гемоглобіну киснем та парціальний тиск вуглекислого газу рСО2), бікарбонат, концентрація загального двоокису вуглецю та рН, актуальний бікарбонат, величина буферних основ; величина надлишку/дефіциту буферних основ;</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BNP or NT‑proBN – для пацієнта з діагностованою легеневою артеріальною гіпертензією з метою спостереження за прогресуванням захворювання;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ферритин; залізо у сироватці крові, трансферін або залізозвязуюча здатність сироватки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церулоплазмін – кількісне визначення в сироватці, сечі або інших рідинах організму;</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С-реактивний білок, альфа-1-глікопротеїн, Альфа-1-антитрипсин – кількісне визначення в сироватці;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антистрептолізін-О в сироватці крові (напівкількісно, кількісно), ревматоїдний фактор в сироватці крові; </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антиген CA-15.3 (CA15.3), антиген CA-125 (CA125), антиген CA-19.9 (CA19.9), асоційований з раком сироватковий антиген (CASA), карциноембріональний антиген (CEA), хоріонічний гонадотропін людини ( HCG), нейрон-специфічна енолаза (NSE), тиреоглобулін, білок S-100 у сироватці крові чи іншій рідині організму; </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простатичний специфічний антиген (ПСА), простатичний специфічний антиген вільний (ПСА вільний);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вітаміни: А, B1, B2, B3, B6 або C – кількісне визначення у крові, сечі чи інших рідинах організму;</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 B12 у сироватці крові, кількісне визначення маркерів вітаміну B12 (транскобаламін або метилмалонова кислота) в сироватці крові, сечі;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фолієва кислота  в сироватці крові в еритроцитах;</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якісне та кількісне визначення наркотиків або інших речовин, що викликають зловживання, в крові, сечі чи інших рідинах організму; </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концентрації карбомазепіну, фенобарбіталу, вальпроєвої кислоти, ацетамінофену, циклоспорину, такролімусу, серолімусу, метотрексату; літію, амфетаміну, барбітурати, бензодіазепіни, канабіноїди, метамфетаміну, опіатів, фенциклідину в крові, сечі чи інших рідинах організму; </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гормони: тироксин (Т4 загальний, Т4 вільний), трийодтиронін (Т3 загальний, Т3 вільний), тиреоглобулін (ТГ), паратгормон (ПТГ), інсулін, кортизол (гідрокортизон), фолікулостимулюючий гормон (ФСГ), лютеїнізуючий гормон, пролактін, паратиреоїдний гормон, альдостерон, вазопресин (антидіуретичний гормон), естрадіол, прогестерон, 17-гідроксипрогестерон, тестостерон загальний, тестостерон вільний, дегідроепіандростерон-сульфат, С-пептид;</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гормонів і білків, що зв’язують гормони — кортизол, ФСГ, інсулін, ЛГ, естрадіол, прогестерон, пролактин;</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тиреотропний гормон (тиреотропін, ТТГ) в цільній крові, сироватці крові, плазмі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хлориди поту – визначення за допомогою іонофорезу;</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вільного бета-хоріонічного гонадотропіну людини (вільний бета-ХГЛ); протеїну А плазми, пов’язаний з вагітністю (PAPP A); некон'югованого естріолу (uE3); альфа-фетопротеїн (AFP);</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холінестерази в сироватці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С-термінального телопептиду колагену I типу, N-термінального пропептиду проколагену І типу (P1NP) в сироватці крові (для моніторингу пацієнтів із доведеною низькою мінеральною щільністю кісткової тканини, пацієнтів з метаболічною хворобою кісток або хворобою Педжета);</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25 гідроксивітамін D, 1,25 дигідроксивітаміну D у сироватці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дихальний тест із сечовиною, для підтвердження колонізації Helicobacter pylori; або моніторингу успішності ерадикації Helicobacter pylori;</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та ацилкарнітинів, сукценілацетону в сухих плямах крові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в крові та сечі методом високоефективної рідинної хроматографії;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птеринів та неоптеринів в сечі методом високоефективної рідинної хроматографії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органічних кислот методом газової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галактозо-1-фосфат уридидтрансферази (GALT)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визначення активності біотинідази в плазмі крові,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гомованілинової кислоти в спиномозковій рідині методом високоефективної рідинної хроматографії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5-гідроксиіндолоцтової кислоти в спиномозковій рідині методом високоефективної рідинної хроматографії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дуже довголанцюгових жирних кислот в сечі методом газової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вуглеводів в плазмі крові та сечі методом тонкошарової хроматографії;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порфіринового обміну (якісні проби);</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в сечі (якісні реакції);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білку в сечі за реакцією з сульфосаліциловою кислотою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амінокислот в сечі за реакцією з нінгідріновим реактивом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цистину та гомоцистину в сечі за реакцією з ацетонциангідріном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проліна в сечі за реакцією з нінгідріновим реактивом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виявлення гомогентизинової кислоти в сечі за реакцією з гідроксидом натрію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Обермеера на індикан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Сулковича на кальцій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Селіванова на фруктозу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кетокислот в сечі за реакцією з 2,4-ДНФГ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лактози та галактози в сечі за реакцією з аміаком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Фелінга на фенілпіровіноградну кислоту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міді в сечі за реакцією з о-толуідіном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сульфітів у сечі (якісна реакція);</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вест другого рівня для визначення метилмалонової кислоти, пропіонової кислоти та 2-метилцитрату в плямі крові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тест другого рівня для визначення гормонів в плямі крові для виявлення АГС методом рідинної хроматографії-масспектрометрії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гомоцистеїну в плазмі або сироватці крові методом ВЕРХ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загальних глікозаміногліканів в сечі (ДМБ – тест);</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фракцій глікозаміногліканів в сечі методом електрофорезу;</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глікозаміногліканів в сечі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олігосахаридів в сечі методом тонкошарової хроматографії;</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LysoGb1 в плазмі та сухих плямах крові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Lyso-SM-509 в сироватці крові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сухих плямах крові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плазмі крові  методом рідинної хроматографії-масспектрометрії;</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(Neo LSD)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(M7)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бета-глюкоцереброзидази в сухих плямах крові методом рідинної хроматографії-масспектрометрії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альфа-галактозидази в сухих плямах крові  методом рідинної хроматографії-масспектрометрії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a-галактозидази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a-глюкозидази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β-глюкозидази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α-ідуронідази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ідуронат-2-сульфатази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галактозо-6-сульфатази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N-ацетилгалактозаміну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β-глюкоронідази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α-N-ацетилглюкозамінідази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трипептидилпептидази в сухих плямах крові (для дітей);</w:t>
      </w:r>
    </w:p>
    <w:p w:rsidR="00CC39F7" w:rsidRPr="00495841" w:rsidRDefault="00CC39F7" w:rsidP="00CC39F7">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кислої сфінгомієлінази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активності галактоцереброзидази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визначення активності β-галактозидази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хітотриозидази в сухих плямах крові (для дітей);</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гексозамінідази загальної в лейкоцитах та плазмі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гексомінідази А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ɑ-маннозидази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b-маннозидази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b-глюкозидази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ɑ-ідуронідази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ідуронатсульфатази в плазмі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гепаран-N-сульфатази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ɑ-N-ацетилглюкозамінідази в плазмі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N-ацетилгалактозамін-6-сульфатази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сфінгомієлінази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ɑ-галактозидази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ɑ-фукозидази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хітотріозидази в плазмі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А в плазмі та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В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плазмі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глюкуронідази в плазмі та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ɑ-глюкозидази в лімфоцитах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пальмітоїлпротеїнтіоестерази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трипептидилпептидази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ліпази в лейкоцитах крові;</w:t>
      </w:r>
    </w:p>
    <w:p w:rsidR="00CC39F7" w:rsidRPr="00495841" w:rsidRDefault="00CC39F7" w:rsidP="00CC39F7">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галактоцереброзидази в лейкоцитах крові;</w:t>
      </w:r>
    </w:p>
    <w:p w:rsidR="00CC39F7" w:rsidRPr="00495841" w:rsidRDefault="00CC39F7" w:rsidP="00CC39F7">
      <w:pPr>
        <w:shd w:val="clear" w:color="auto" w:fill="FFFFFF"/>
        <w:spacing w:after="240"/>
        <w:ind w:firstLine="567"/>
        <w:jc w:val="both"/>
        <w:rPr>
          <w:rFonts w:ascii="Times New Roman" w:hAnsi="Times New Roman"/>
          <w:sz w:val="24"/>
          <w:szCs w:val="24"/>
        </w:rPr>
      </w:pPr>
      <w:r w:rsidRPr="00495841">
        <w:rPr>
          <w:rFonts w:ascii="Times New Roman" w:hAnsi="Times New Roman"/>
          <w:sz w:val="24"/>
          <w:szCs w:val="24"/>
        </w:rPr>
        <w:t>визначення активності ацетил-КоА-a-глюкозамінацетилтрансферази в лейкоцитах крові.</w:t>
      </w:r>
    </w:p>
    <w:p w:rsidR="00CC39F7" w:rsidRDefault="00CC39F7" w:rsidP="00CC39F7">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b/>
          <w:i/>
          <w:sz w:val="24"/>
          <w:szCs w:val="24"/>
        </w:rPr>
        <w:t>Клас  «Мікробіологія»</w:t>
      </w:r>
      <w:r>
        <w:rPr>
          <w:rFonts w:ascii="Times New Roman" w:hAnsi="Times New Roman"/>
          <w:b/>
          <w:sz w:val="24"/>
          <w:szCs w:val="24"/>
        </w:rPr>
        <w:t xml:space="preserve"> - проведення мікробіологічних досліджень:</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мікроскопія мазка, крім крові, з однієї або кількох ділянок, отриманого безпосередньо від пацієнта (не культури);</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посів та мікроскопія для виявлення патогенних мікроорганізмів у мазках з носа, горла, очей та вух (крім мазків, взятих для епідеміологічного нагляду), включаючи ідентифікацію збудника та тестування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мікроскопія та посів для виявлення патогенних мікроорганізмів на шкірі чи інших поверхневих ділянках, включаючи ідентифікацію збудника та тестування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для виявлення дерматофітів та інших грибів, що викликають шкірні захворювання, з зіскрібків шкіри, біопсії шкіри, волосся та нігтів; </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з уретри, піхви, шийки матки або прямої кишки (крім фекальних збудників), у тому числі з ідентифікацією збудника та тестування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із зразків мокротиння, у тому числі ідентифікація збудника та тестування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післяопераційних ран, аспіратів порожнин тіла, синовіальної рідини, спинномозкової рідини або операційних чи біопсійних зразків на наявність патогенних мікроорганізмів за участю аеробних та анаеробних культур та використанням різних </w:t>
      </w:r>
      <w:r>
        <w:rPr>
          <w:rFonts w:ascii="Times New Roman" w:hAnsi="Times New Roman"/>
          <w:sz w:val="24"/>
          <w:szCs w:val="24"/>
        </w:rPr>
        <w:lastRenderedPageBreak/>
        <w:t>культуральних середовищ, а також ідентифікація збудника та тестування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дослідження сечі (включаючи серійні дослідження) будь-яким способом, включаючи: (а) кількість клітин; і (б) культура; і (c) кількість колоній; і (d) пофарбовані препарати; і (e) ідентифікація культивованих патогенів; і (f) тест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мікроскопія фекалій на яйцеклітини, цисти та паразитів;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посів крові на патогенні мікроорганізми (крім вірусів), та ідентифікація будь-якого культивованого патогена та  необхідні тести на чутливість до антибіотиків;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виявлення менінгококу, коринебактерій дифтерії, бордетелл, патогенного стафілококу, сальмонел, шигел, ентеропатогенних ешеріхій, кампілобактерій, ієрсиній,  вібріонів;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мінімальної інгібуючої концентрації антибактеріального препарату для штамів мікроорганізмів;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синергії антибактеріальних препаратів для полірезистентніх штамів мікроорганізмів;</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дослідження на носійство метицилін-резистентного стафілококу (MRSA), ванкоміцин-резистентного ентерококу (VRE) Enterobacteriacae, продуцентів бета-лактамаз розширеного спектру (ESBL) та придбаної бета-лактамази AmpC, або носійство Enterobacteriacae, продуцентів карбопенемаз;</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гепатит В: визначення ДНК вірусу гепатиту В у плазмі крові (якісне та кількісне визначення); НВsAg в сироватці та плазмі крові (електрохемілюмінесцентним методом та методом ІФА). НВе-антигену крові, антитіл класу IgM до ядерного антигену вірусу гепатиту В, сумарних антитіл до ядерного антигену вірусу гепатиту В у сироватці та плазмі крові, сумарних антитіл до НВе-антигену антитіл до НВsAg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Т-лімфотропного вірусу людини типу I/II в сироватці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гепатит С:  визначення антитіл класу IgM до ядерного антигену вірусу гепатиту С, сумарних антитіл до вірусу гепатиту С в сироватці та плазмі крові, виявлення РНК вірусу гепатиту С (якісне та кількісне визначення), генотипу вірусу гепатиту С;</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А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Д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Е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G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TTV вірусу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вірус простого герпесу 1 та 2 типу: визначення ДНК вірусу простого герпесу 1 та 2 типу в біологічному матеріалі: кров, ліквор, слина (якісне визначення), IgM та IgG до вірусу простого герпесу I, II-го типу вірусу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вірус Varicella Zoster: визначення ДНК вірусу вітряної віспи (Varicella Zoster virus) в біологічному матеріалі: кров, ліквор (якісне визначення), антитіл класу IgM та IgG до вірусу Varicella Zoster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цитомегаловірус людини: визначення ДНК цитомегаловірусу людини в біологічному матеріалі: кров, сеча, ліквор, слина (якісне визначення), в цільній крові (кількісне визначення), антитіл класу IgM та IgG до цитомегаловірусу людини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вірус Епштейна-Барр: визначення ДНК вірусу Епштейна-Барр в біологічному матеріалі: кров, ліквор, слина (якісне визначення), в цільній крові (кількісне визначення), антитіл класу IgM та IgG до капсидного антигену вірусу Епштейна-Барр в сироватці крові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lastRenderedPageBreak/>
        <w:t>парвовірус B19: визначення ДНК парвовірусу В19, (Parvovirus B19) в біологічному матеріалі, антитіл класу IgM та IgG, до Парвовірусу B 19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6 типу в біологічному матеріалі: кров, ліквор, слина, бронхоальвеолярний лаваж (якісне визначення)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7 типу в біологічному матеріалі: кров, ліквор, слина (якісне визначення)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РНК респіраторно-синцитіального вірусу (Human Respiratory Sincitial virus) 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ДНК аденовірусу (Human Adenovirus) 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РНК коронавірусу SARS-CoV-2 в біологічному матеріалі;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SARS-CoV-2 8: визначення рівня сумарних антитіл, антитіл класу IgG, IgМ або IgА до S-білку вірусу SARS-CoV-2 в сироватці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РНК риновірусу (Human Rhinovirus) 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ДНК поліомавірусів: JC вірусу (JC virus) + ВК вірусу (ВК virus)в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РНК ротавірусу (Rotavirus) 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РНК астровірусу (Astrovirus) 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РНК норовірусу (Norovirus) в біологічному матеріалі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IgM та IgG до Toxoplasma gondii, Chlamydia trachomatis, Chlamydia pneumoniae Mycoplasma pneumoniae, краснухи в сироватці крові (для вагітних та дітей);</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Treponema pallidum в сироватці крові методом ІФА або електрохемілюмінесцентним методом в сироватці та плазмі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асоційованих із сифілісом реагінових антитіл (реакція мікропреципітації);</w:t>
      </w:r>
    </w:p>
    <w:p w:rsidR="00CC39F7" w:rsidRDefault="00CC39F7" w:rsidP="00CC39F7">
      <w:pPr>
        <w:shd w:val="clear" w:color="auto" w:fill="FFFFFF"/>
        <w:ind w:firstLine="567"/>
        <w:jc w:val="both"/>
        <w:rPr>
          <w:rFonts w:ascii="Times New Roman" w:hAnsi="Times New Roman"/>
        </w:rPr>
      </w:pPr>
      <w:r>
        <w:rPr>
          <w:rFonts w:ascii="Times New Roman" w:hAnsi="Times New Roman"/>
          <w:sz w:val="14"/>
          <w:szCs w:val="14"/>
        </w:rPr>
        <w:t xml:space="preserve"> </w:t>
      </w:r>
      <w:r>
        <w:rPr>
          <w:rFonts w:ascii="Times New Roman" w:hAnsi="Times New Roman"/>
          <w:sz w:val="24"/>
          <w:szCs w:val="24"/>
        </w:rPr>
        <w:t>визначення антитіл класу IgА або IgG до Helicobacter pylori в сироватці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IgМ або IgG до Borrelia burgdorferi (хвороба Лайма) в сироватці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антигенів лямблій (Giardia lamblia) в сироватці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антигену аскариди (Ascaris lumbricoides), ехінококку (Echinococcus granulosus), токсокари (Toxocara canis), трихінелли (Trichinella spiralis) в сироватці крові;</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тест клітинно-опосередкованої імунної відповіді в крові для виявлення латентного туберкульозу за допомогою аналізу вивільнення гамма-інтерферону (IGRA);</w:t>
      </w:r>
    </w:p>
    <w:p w:rsidR="00CC39F7" w:rsidRDefault="00CC39F7" w:rsidP="00CC39F7">
      <w:pPr>
        <w:shd w:val="clear" w:color="auto" w:fill="FFFFFF"/>
        <w:ind w:firstLine="567"/>
        <w:jc w:val="both"/>
        <w:rPr>
          <w:rFonts w:ascii="Times New Roman" w:hAnsi="Times New Roman"/>
        </w:rPr>
      </w:pPr>
      <w:r>
        <w:rPr>
          <w:rFonts w:ascii="Times New Roman" w:hAnsi="Times New Roman"/>
          <w:sz w:val="24"/>
          <w:szCs w:val="24"/>
        </w:rPr>
        <w:t>визначення ДНК Toxoplasma gondii в крові (якісне визначення).</w:t>
      </w:r>
    </w:p>
    <w:p w:rsidR="00CC39F7" w:rsidRDefault="00CC39F7" w:rsidP="00CC39F7">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4. </w:t>
      </w:r>
      <w:r>
        <w:rPr>
          <w:rFonts w:ascii="Times New Roman" w:hAnsi="Times New Roman"/>
          <w:b/>
          <w:i/>
          <w:sz w:val="24"/>
          <w:szCs w:val="24"/>
        </w:rPr>
        <w:t>Клас «Імунологія»</w:t>
      </w:r>
      <w:r>
        <w:rPr>
          <w:rFonts w:ascii="Times New Roman" w:hAnsi="Times New Roman"/>
          <w:b/>
          <w:sz w:val="24"/>
          <w:szCs w:val="24"/>
        </w:rPr>
        <w:t xml:space="preserve"> - проведення імунологічних досліджень:</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інтерлейкіну-6 в сироватці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відносної кількості лімфоцитів (CD45+/CD14-) в цільній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субпопуляцій лімфоцитів в цільній крові за допомогою моноклональних антитіл;</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Т-лімфоцити (визначення загальної кількості Т-лімфоцитів (CD45+/CD3+ ), % активованих Т-лімфоцитів (CD3+HLA-DR+CD25+CD45+), ab-Т-клітин (CD45+CD3+TcRab+TcRγδ-), γδ-Т-клітин (CD45+CD3+TcRab-TcRγδ+), T-NK-клітин цитолітичних (CD16+CD56+CD3+CD45+), регуляторних Т-клітин (CD45+CD4+CD25brightCD127neg), T-клітин пам’яті (CD45+CD4+CD45RA-CD45RO+), Т-хелперів (CD3+CD4+CD8-CD45+), Т-хелперів наївних  (CD45+CD4+CD45RA+CD45RO-), Т-</w:t>
      </w:r>
      <w:r w:rsidRPr="00495841">
        <w:rPr>
          <w:rFonts w:ascii="Times New Roman" w:hAnsi="Times New Roman"/>
          <w:sz w:val="24"/>
          <w:szCs w:val="24"/>
        </w:rPr>
        <w:lastRenderedPageBreak/>
        <w:t>хелперів з ранньою активацією  (CD45+CD4+CD25+), Т-хелперів з пізньою активацією  (CD45+CD4+HLA-DR+), Т-цитотоксичних лімфоцитів (CD3+CD4-CD8+CD45+), Т-цитотоксичних лімфоцитів активованих (CD3+HLA-DR+CD8+CD45+), індекс співвідношення (Т-хелпери/Т-цитотоксичні лімфоцити), рецептори  Т-лімфоцитів до інтерлейкіну 2 в цільній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В-лімфоцити: визначення загальної кількості, В-лімфоцитів (CD45+CD19+), В1-клітин (аутореактивних) (CD45+CD19+CD5+), В2-клітин (наївних).(CD45+CD19+CD5-CD27-), В-клітин пам’яті.(CD45+CD19+CD5-CD27+), кількість загальних NK-клітин (CD45+CD3-CD16+ CD56+), В-клітинного рецептору, експресії IgD в цільній крові, експресії IgM в цільній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NK-клітини: визначення NK-клітин цитолітичних (CD45+CD3-CD16brightCD56dim),  NK-клітин цитокінпродукуючих (CD45+CD3-CD16dim-to-negCD56bright), маркеру Fas-індукованого апоптозу (CD95) в цільній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ідентифікація нейтрофілів (гранулоцитів): визначення диференційних антигенів, індексу (CD45+CD64+) на моноцитах та нейтрофілах, кількості активованих моноцитів (CD45+CD14+HLA-DR+), поглинальної активності нейтрофілів (BURST тест) в цільній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імуноглобуліну А, G, М, D, Е, будь-яким методом, у сироватці, сечі чи іншій рідині організму;</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поверхневого та цитоплазматичного IgM на клітинах біологічного матеріалу за допомогою моноклональних антитіл методом проточної цитометрії;</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визначення Т-клітинного рецептору для антигену (TCR a/b) на клітинах біологічного матеріалу за допомогою моноклональних антитіл методом проточної цитометрії; </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Т-клітинного рецептору для антигену (TCR gamma/delta) на клітинах біологічного матеріалу за допомогою моноклональних антитіл методом проточної цитометрії;</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імуноглобуліну Е до одного або кількох потенційних алергенів;</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гемолітичного комплементу;</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компонентів комплементу С3 </w:t>
      </w:r>
      <w:r w:rsidRPr="00495841">
        <w:rPr>
          <w:rFonts w:ascii="Times New Roman" w:hAnsi="Times New Roman"/>
          <w:sz w:val="16"/>
          <w:szCs w:val="16"/>
        </w:rPr>
        <w:t xml:space="preserve"> </w:t>
      </w:r>
      <w:r w:rsidRPr="00495841">
        <w:rPr>
          <w:rFonts w:ascii="Times New Roman" w:hAnsi="Times New Roman"/>
          <w:sz w:val="24"/>
          <w:szCs w:val="24"/>
        </w:rPr>
        <w:t>і С4;</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еозинофільного катіонного білка</w:t>
      </w:r>
      <w:r w:rsidRPr="00495841">
        <w:rPr>
          <w:rFonts w:ascii="Times New Roman" w:hAnsi="Times New Roman"/>
          <w:sz w:val="16"/>
          <w:szCs w:val="16"/>
        </w:rPr>
        <w:t xml:space="preserve"> </w:t>
      </w:r>
      <w:r w:rsidRPr="00495841">
        <w:rPr>
          <w:rFonts w:ascii="Times New Roman" w:hAnsi="Times New Roman"/>
          <w:sz w:val="24"/>
          <w:szCs w:val="24"/>
        </w:rPr>
        <w:t>в сироватці або плазмі, максимум 3 аналізів за 12 місяців, для моніторингу відповіді на терапію астми, що лікується кортикостероїдами, у дитини віком до 12 років;</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антинуклеарні антитіла — виявлення в сироватці або інших рідинах організму, включаючи кількісне визначення, якщо потрібно;</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дволанцюгової ДНК</w:t>
      </w:r>
      <w:r w:rsidRPr="00495841">
        <w:rPr>
          <w:rFonts w:ascii="Times New Roman" w:hAnsi="Times New Roman"/>
          <w:sz w:val="16"/>
          <w:szCs w:val="16"/>
        </w:rPr>
        <w:t xml:space="preserve"> </w:t>
      </w:r>
      <w:r w:rsidRPr="00495841">
        <w:rPr>
          <w:rFonts w:ascii="Times New Roman" w:hAnsi="Times New Roman"/>
          <w:sz w:val="24"/>
          <w:szCs w:val="24"/>
        </w:rPr>
        <w:t>(dsDNA-NcX) в сироватці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ревматоїдний фактор — виявлення будь-яким методом</w:t>
      </w:r>
      <w:r w:rsidRPr="00495841">
        <w:rPr>
          <w:rFonts w:ascii="Times New Roman" w:hAnsi="Times New Roman"/>
          <w:sz w:val="16"/>
          <w:szCs w:val="16"/>
        </w:rPr>
        <w:t xml:space="preserve"> </w:t>
      </w:r>
      <w:r w:rsidRPr="00495841">
        <w:rPr>
          <w:rFonts w:ascii="Times New Roman" w:hAnsi="Times New Roman"/>
          <w:sz w:val="24"/>
          <w:szCs w:val="24"/>
        </w:rPr>
        <w:t>у сироватці крові чи інших рідинах організму, включаючи кількісне визначення;</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тканинних антигенів;</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дослідження рецидивуючої інфекції шляхом якісної оцінки на наявність дефектів окислювальних шляхів у нейтрофілах за допомогою тесту відновлення нітросинього тетразолію (НСТ-тест);</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людських лейкоцитарних диференційних поверхневих та цитоплазматичних антигенів (CD) за допомогою моноклональних антитіл методом проточної цитометрії в біологічному матеріалі: CD1а, CD2, поверхневого антигену CD3; цитоплазматичного антигену CD3, CD22, CD75а, CD79а,  поверхнавих CD4, CD5, CD7, CD8, CD9, CD10, CD11а, CD11b, CD11с, CD13, CD14, CD15, CD16, CD19, 20 CD22, CD24, CD25, CD27, CD28, CD30, CD31, CD33, CD34, CD38, CD41, CD42, CD42а, CD42b, CD45RA, CD45, CD55, CD56, CD58, CD59, CD61, CD64, CD65, CD81, CD95, CD99, CD117, CD123, CD235a, CD371, CD NG2;</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HLA-DR-антигену;</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мієлопероксидази (MPO), дезоксинуклеотидилтрансферази (TdT) в клітинах біологічного матеріалу за допомогою моноклональних антитіл методом проточної цитометрії;</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кардіоліпіну або бета 2 глікопротеїну I — виявлення, включаючи кількісне визначення;</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мітохондріальних антигенів в сироватці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lastRenderedPageBreak/>
        <w:t>визначення аутоімунних антитіл класу IgG до ядерних та цитоплазматичних антигенів в сироватці крові (рибосомальні Р-білки, nRNP/Sm, Sm, SS-A, SS-B, Ro-52, Scl-70, Jo-1, PCNA, PM-Scl, dsDNA, гістони та центромери);</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цитоплазматичних структур нейтрофілів в сироватці крові (протеїназа-3, лактоферрин, еластаза);</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циклічного цитрулін-вмісткого пептиду (CCP) в сироватці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цитрулінового виментину (Sa-антигену) в сироватці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мієлопероксидази (МПО) в сироватці крові;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IgG до одного або кількох алергенів респіраторних захворювань;</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легкі ланцюги імуноглобулінів типу каппа;</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14"/>
          <w:szCs w:val="14"/>
        </w:rPr>
        <w:t xml:space="preserve"> </w:t>
      </w:r>
      <w:r w:rsidRPr="00495841">
        <w:rPr>
          <w:rFonts w:ascii="Times New Roman" w:hAnsi="Times New Roman"/>
          <w:sz w:val="24"/>
          <w:szCs w:val="24"/>
        </w:rPr>
        <w:t>легкі ланцюги імуноглобулінів типу лямбда;</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мінімальної залишкової хвороби (MRD) за допомогою моноклональних антитіл на проточному цитометрі;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клітин кісткового мозку, спинномозкової рідини, клітин ексудатів, транссудатів, анаплазованих клітин фрагментів пухлин за допомогою моноклональних антитіл на проточному цитометрі, зокрема вмісту гемопоетичних стовбурових клітин ( CD34+) із супутніми популяціями Т- лімфоцитів та натуральних кілерів (CD45, CD3, CD16, CD56);</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фагоцитарної активності нейтрофілів в  периферичній крові за допомогою моноклональних антитіл на проточному цитометрі;</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ДНК-індексу пухлиних клітин периферичної крові/кісткового мозку методом проточної цитометрії;</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клітин з GPI-недостатністю в периферичній крові методом проточної цитометрії;</w:t>
      </w:r>
    </w:p>
    <w:p w:rsidR="00CC39F7" w:rsidRPr="00495841" w:rsidRDefault="00CC39F7" w:rsidP="00CC39F7">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ендомізію та  до тканинної трансглутамінази (для дітей);</w:t>
      </w:r>
    </w:p>
    <w:p w:rsidR="00CC39F7" w:rsidRPr="00495841" w:rsidRDefault="00CC39F7" w:rsidP="00CC39F7">
      <w:pPr>
        <w:shd w:val="clear" w:color="auto" w:fill="FFFFFF"/>
        <w:spacing w:line="240" w:lineRule="auto"/>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TCR Vβ репертуару;</w:t>
      </w:r>
    </w:p>
    <w:p w:rsidR="00CC39F7" w:rsidRPr="00495841" w:rsidRDefault="00CC39F7" w:rsidP="00CC39F7">
      <w:pPr>
        <w:shd w:val="clear" w:color="auto" w:fill="FFFFFF"/>
        <w:spacing w:line="240" w:lineRule="auto"/>
        <w:ind w:firstLine="567"/>
        <w:jc w:val="both"/>
        <w:rPr>
          <w:rFonts w:eastAsia="Arial" w:cs="Arial"/>
          <w:highlight w:val="white"/>
        </w:rPr>
      </w:pPr>
      <w:r w:rsidRPr="00495841">
        <w:rPr>
          <w:rFonts w:ascii="Times New Roman" w:hAnsi="Times New Roman"/>
          <w:sz w:val="24"/>
          <w:szCs w:val="24"/>
          <w:highlight w:val="white"/>
        </w:rPr>
        <w:t>визначення антитіл до тромбоцитарного антигену людини.</w:t>
      </w:r>
    </w:p>
    <w:p w:rsidR="00CC39F7" w:rsidRDefault="00CC39F7" w:rsidP="00CC39F7">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5. </w:t>
      </w:r>
      <w:r>
        <w:rPr>
          <w:rFonts w:ascii="Times New Roman" w:hAnsi="Times New Roman"/>
          <w:b/>
          <w:i/>
          <w:sz w:val="24"/>
          <w:szCs w:val="24"/>
        </w:rPr>
        <w:t>Клас «Тканинна патологія»</w:t>
      </w:r>
      <w:r>
        <w:rPr>
          <w:rFonts w:ascii="Times New Roman" w:hAnsi="Times New Roman"/>
          <w:b/>
          <w:sz w:val="24"/>
          <w:szCs w:val="24"/>
        </w:rPr>
        <w:t xml:space="preserve"> - проведення досліджень:</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біопсійного матеріалу з одним або декількома блоками тканини, включаючи розтин зразка, обробку всіх тканин, фарбування, світлову мікроскопію та висновки: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ендометрію (аспіраційна біопсія, вишкрібання, поліпектомія);</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вишкрібання цервікального каналу;</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шийки матки (не ексцизійної), фалопієвої труби, вагіни, вульви, статевих губ, кісти бартолінової залози;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шкіри, молочної залози;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простати, яєчка, нирки;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ока, кон'юнктиви, рогівки;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носоглотки, ротоглотки, носа, синусу параназального, мигдалин, поліпу, ясен, губи, язика або мигдалини;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матеріалу при проведенні ендоскопічних досліджень (езофагогастродуоденоскопії, колоноскопії, ректороманоскопії, бронхоскопії, гістероскопії, цистоскопії);</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біопсії м’язів, сухожилля, сухожильної оболонки, суглобової та навколо суглобової тканини, кістки;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lastRenderedPageBreak/>
        <w:t>гістохімічне дослідження ферментів скелетних м'язів для дослідження первинних дегенеративних або метаболічних захворювань м'язів або аномалій м'язів, вторинних у зв'язку з захворюванням центральної або периферичної нервової системи;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імуногістохімічне дослідження біопсійного матеріалу за допомогою імунофлюоресценції, імунопероксидази або інших методів мічених антитіл з декількома антигенними специфічностями на зразок;</w:t>
      </w:r>
    </w:p>
    <w:p w:rsidR="00CC39F7" w:rsidRDefault="00CC39F7" w:rsidP="00CC39F7">
      <w:pPr>
        <w:shd w:val="clear" w:color="auto" w:fill="FFFFFF"/>
        <w:spacing w:after="240"/>
        <w:ind w:firstLine="567"/>
        <w:jc w:val="both"/>
        <w:rPr>
          <w:rFonts w:ascii="Times New Roman" w:hAnsi="Times New Roman"/>
          <w:sz w:val="24"/>
          <w:szCs w:val="24"/>
        </w:rPr>
      </w:pPr>
      <w:r>
        <w:rPr>
          <w:rFonts w:ascii="Times New Roman" w:hAnsi="Times New Roman"/>
          <w:sz w:val="24"/>
          <w:szCs w:val="24"/>
        </w:rPr>
        <w:t>електронно-мікроскопічне дослідження біопсійного матеріалу.</w:t>
      </w:r>
    </w:p>
    <w:p w:rsidR="00CC39F7" w:rsidRDefault="00CC39F7" w:rsidP="00CC39F7">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6. </w:t>
      </w:r>
      <w:r>
        <w:rPr>
          <w:rFonts w:ascii="Times New Roman" w:hAnsi="Times New Roman"/>
          <w:b/>
          <w:i/>
          <w:sz w:val="24"/>
          <w:szCs w:val="24"/>
        </w:rPr>
        <w:t>Клас «Цитологія»</w:t>
      </w:r>
      <w:r>
        <w:rPr>
          <w:rFonts w:ascii="Times New Roman" w:hAnsi="Times New Roman"/>
          <w:b/>
          <w:sz w:val="24"/>
          <w:szCs w:val="24"/>
        </w:rPr>
        <w:t xml:space="preserve"> - проведення цитологічних досліджень:</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виділень із сосків або мазків зі шкіри, губ, рота, носа або заднього проходу;</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мокротиння, сечі, ексудату інших рідин організму, а також матеріалу, отриманого за допомогою зішкрібу, відбитку, аспірації, змиву;</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цитологічне дослідження шийки матки (ПАП- тест традиційний);</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часткове генотипування на онкогенний вірус папіломи (типи 16, 18) людини;</w:t>
      </w:r>
    </w:p>
    <w:p w:rsidR="00CC39F7" w:rsidRDefault="00CC39F7" w:rsidP="00CC39F7">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рідкого зразка шийки матки або вагінального склепіння, якщо пофарбовані клітини досліджуються під мікроскопом або за допомогою автоматизованого аналізу;</w:t>
      </w:r>
    </w:p>
    <w:p w:rsidR="00CC39F7" w:rsidRDefault="00CC39F7" w:rsidP="00CC39F7">
      <w:pPr>
        <w:shd w:val="clear" w:color="auto" w:fill="FFFFFF"/>
        <w:spacing w:after="240"/>
        <w:ind w:firstLine="567"/>
        <w:jc w:val="both"/>
        <w:rPr>
          <w:rFonts w:ascii="Times New Roman" w:hAnsi="Times New Roman"/>
          <w:sz w:val="24"/>
          <w:szCs w:val="24"/>
        </w:rPr>
      </w:pPr>
      <w:r>
        <w:rPr>
          <w:rFonts w:ascii="Times New Roman" w:hAnsi="Times New Roman"/>
          <w:sz w:val="24"/>
          <w:szCs w:val="24"/>
        </w:rPr>
        <w:t>цитологічне дослідження пофарбованих препаратів спинномозкової рідини, випітних рідин, відбитків пухлин, пухлиноподібних новоутворень м'яких тканин (диференційна діагностика лімфопроліферативних захворювань).</w:t>
      </w:r>
    </w:p>
    <w:p w:rsidR="00CC39F7" w:rsidRDefault="00CC39F7" w:rsidP="00CC39F7">
      <w:pPr>
        <w:shd w:val="clear" w:color="auto" w:fill="FFFFFF"/>
        <w:spacing w:before="240"/>
        <w:ind w:firstLine="567"/>
        <w:jc w:val="both"/>
        <w:rPr>
          <w:rFonts w:ascii="Times New Roman" w:hAnsi="Times New Roman"/>
          <w:sz w:val="24"/>
          <w:szCs w:val="24"/>
        </w:rPr>
      </w:pPr>
      <w:r>
        <w:rPr>
          <w:rFonts w:ascii="Times New Roman" w:hAnsi="Times New Roman"/>
          <w:b/>
          <w:sz w:val="24"/>
          <w:szCs w:val="24"/>
        </w:rPr>
        <w:t xml:space="preserve">7. </w:t>
      </w:r>
      <w:r>
        <w:rPr>
          <w:rFonts w:ascii="Times New Roman" w:hAnsi="Times New Roman"/>
          <w:b/>
          <w:i/>
          <w:sz w:val="24"/>
          <w:szCs w:val="24"/>
        </w:rPr>
        <w:t>Клас «Генетика»</w:t>
      </w:r>
      <w:r>
        <w:rPr>
          <w:rFonts w:ascii="Times New Roman" w:hAnsi="Times New Roman"/>
          <w:b/>
          <w:sz w:val="24"/>
          <w:szCs w:val="24"/>
        </w:rPr>
        <w:t xml:space="preserve"> - проведення генетичних досліджень:</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GALT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HADHA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дуплікації 24bp в гені СHIT1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ACADM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IDS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ACADVL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GCDH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MUT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ARSB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GALNS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GALT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GBA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GLB1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IVD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IDUA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варіантів в гені SGSH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TPP1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PAH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генів SMN1, SMN2 та NAIP методом MLPA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мультиплексне визначення гомозиготної делеції 7-го екзону гена SMN1 та кількості копій TREC та KREC методом ПЛР у реальному часі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панелі CarrierSeq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Повноекзомне сиквенування (WES)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частого варіанта делеції в гені GALC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BTD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CFTR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ETFDH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ETFB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BCKDHB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SLC22A5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HADHB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MMAB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MMACHC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PCCВ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FGFR3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FGFR3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FAH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HADHA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молекулярно-генетичне дослідження гену CFTR  методом NGS з використанням таргетної панелі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ТКІД методом NGS з використанням таргетної панелі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атаксій методом NGS з використанням таргетної панелі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лізосомних захворювань методом NGS з використанням таргетної панелі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первинних імунодефіцитів методом NGS з використанням таргетної панел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органічних ацидурій методом NGS з використанням таргетної панелі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мітохондріального геному методом NGS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CFTR методом LIPA;</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CYP21A2 методом MLPA;</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IDS методом MLPA;</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DMD методом MLPA;</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CFTR методом MLPA;</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100-300 генів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300-500 генів (для дітей);</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відомих варіантів в генах спадкової патології методом  прямого автоматичного сиквенування за Сенгером (1 раз за життя);</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Х-хроматину у клiтинах слизової оболонки порожнини рота;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каріотипу пацієнта у лiмфоцитах периферійної кровi </w:t>
      </w:r>
      <w:r w:rsidRPr="00BE0C42">
        <w:rPr>
          <w:rFonts w:ascii="Times New Roman" w:hAnsi="Times New Roman"/>
          <w:bCs/>
          <w:sz w:val="24"/>
          <w:szCs w:val="24"/>
          <w:highlight w:val="white"/>
        </w:rPr>
        <w:t>(</w:t>
      </w:r>
      <w:r w:rsidRPr="00BE0C42">
        <w:rPr>
          <w:rFonts w:ascii="Times New Roman" w:hAnsi="Times New Roman"/>
          <w:bCs/>
          <w:sz w:val="24"/>
          <w:szCs w:val="24"/>
        </w:rPr>
        <w:t>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фарбування препаратів CBG методом;</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Y-хроматину шляхом QFQ-фарбування;</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гена фактора V або виявлення інших відповідних мутацій у пацієнтів з підтвердженим венозним тромбозом або емболією легеневої артерії;</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генетичної мутації C282Y гена HFE та інших мутацій для гемохроматозу (для пацієнтів з підвищеним насиченням трансферину або рівнем феритину вище нормального контрольного діапазону або пацієнт має родича першого ступеня з гемохроматозом, або пацієнт має родича першого ступеня з гомозиготністю щодо генетичної мутації C282Y або зі складною гетерозиготністю щодо визнаних генетичних мутацій щодо гемохроматозу);</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мікроделеції 22q11.2 (HIRA) методом флуоресцентної in situ гібридизації в клітинах периферійної крові пацієнта </w:t>
      </w:r>
      <w:r w:rsidRPr="00BE0C42">
        <w:rPr>
          <w:rFonts w:ascii="Times New Roman" w:hAnsi="Times New Roman"/>
          <w:bCs/>
          <w:sz w:val="24"/>
          <w:szCs w:val="24"/>
          <w:highlight w:val="white"/>
        </w:rPr>
        <w:t>(1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22q13.3 (ARSA) методом флуоресцентної in situ гібридизації в клітинах периферійної крові пацієнта (синдром Фелан-МакДерміта)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(SNRPN) методом флуоресцентної in situ гібридизації в клітинах периферійної крові пацієнта (синдром Прадера-Віллі)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(UBE3A) методом флуоресцентної in situ гібридизації в клітинах периферійної крові пацієнта (синдром Ангельмана)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7q11.23 (ELN) методом флуоресцентної in situ гібридизації в клітинах периферійної крові пацієнта (синдром Вільямса)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highlight w:val="white"/>
        </w:rPr>
        <w:t>виявлення мікроделеції 5q35 (NSD1) методом флуоресцентної in situ гібридизації в клітинах периферійної крові пацієнта (синдром Сотоса) (1 раз в житті, до 18</w:t>
      </w:r>
      <w:r w:rsidRPr="00BE0C42">
        <w:rPr>
          <w:rFonts w:ascii="Times New Roman" w:hAnsi="Times New Roman"/>
          <w:bCs/>
          <w:sz w:val="24"/>
          <w:szCs w:val="24"/>
          <w:highlight w:val="yellow"/>
        </w:rPr>
        <w:t xml:space="preserve"> </w:t>
      </w:r>
      <w:r w:rsidRPr="00BE0C42">
        <w:rPr>
          <w:rFonts w:ascii="Times New Roman" w:hAnsi="Times New Roman"/>
          <w:bCs/>
          <w:sz w:val="24"/>
          <w:szCs w:val="24"/>
          <w:highlight w:val="white"/>
        </w:rPr>
        <w:t>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17р11.2 (SMS) методом флуоресцентної in situ гібридизації в клітинах периферійної крові пацієнта (синдром Сміта-Магеніса)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17р13.3 (LIS1) методом флуоресцентної in situ гібридизації в клітинах периферійної крові пацієнта (синдром Мілера-Декера)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мікроделеції 4р16.3(WHS) методом флуоресцентної in situ гібридизації в клітинах периферійної крові пацієнта (синдром Вольфа-Хіршхорна)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5р15.3 методом флуоресцентної in situ гібридизації в клітинах периферійної крові пацієнта (синдром "котячого крику")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1р36 методом флуоресцентної in situ гібридизації в клітинах периферійної крові пацієнта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тетрасомії короткого плеча хромосоми 12 методом флуоресцентної in situ гібридизації в клітинах букального епітелію пацієнта (синдром Кіліана-Тишлера-Ніколя)</w:t>
      </w:r>
      <w:r w:rsidRPr="00BE0C42">
        <w:rPr>
          <w:rFonts w:ascii="Times New Roman" w:hAnsi="Times New Roman"/>
          <w:bCs/>
          <w:sz w:val="24"/>
          <w:szCs w:val="24"/>
          <w:highlight w:val="white"/>
        </w:rPr>
        <w:t xml:space="preserve"> (1 раз в житті, до 18 років)</w:t>
      </w:r>
      <w:r w:rsidRPr="00BE0C42">
        <w:rPr>
          <w:rFonts w:ascii="Times New Roman" w:hAnsi="Times New Roman"/>
          <w:bCs/>
          <w:sz w:val="24"/>
          <w:szCs w:val="24"/>
        </w:rPr>
        <w:t>;</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встановлення гену SRY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мутацій гену SRY молекулярно-генетичними методами (один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18 методом флуоресцентної in situ гібридизації в клітинах периферійної крові пацієнта (синдром Едвардса) </w:t>
      </w:r>
      <w:r w:rsidRPr="00BE0C42">
        <w:rPr>
          <w:rFonts w:ascii="Times New Roman" w:hAnsi="Times New Roman"/>
          <w:bCs/>
          <w:sz w:val="24"/>
          <w:szCs w:val="24"/>
          <w:highlight w:val="white"/>
        </w:rPr>
        <w:t>(1 раз в житті, до 18 років)</w:t>
      </w:r>
      <w:r w:rsidRPr="00BE0C42">
        <w:rPr>
          <w:rFonts w:ascii="Times New Roman" w:hAnsi="Times New Roman"/>
          <w:bCs/>
          <w:sz w:val="24"/>
          <w:szCs w:val="24"/>
        </w:rPr>
        <w:t>;</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13 методом флуоресцентної in situ гібридизації в клітинах периферійної крові пацієнта (синдром Патау) </w:t>
      </w:r>
      <w:r w:rsidRPr="00BE0C42">
        <w:rPr>
          <w:rFonts w:ascii="Times New Roman" w:hAnsi="Times New Roman"/>
          <w:bCs/>
          <w:sz w:val="24"/>
          <w:szCs w:val="24"/>
          <w:highlight w:val="white"/>
        </w:rPr>
        <w:t>(1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трисомії хромосоми 21 методом флуоресцентної in situ гібридизації в клітинах периферійної крові пацієнта (синдром Дауна)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субтеломерних послідовностей однієї хромосоми методом флуоресцентної in situ гібридизації в клітинах периферійної крові пацієнта (один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анеуплоідій статевих хромосом методом флуоресцентної in situ гібридизації в клітинах периферійної крові пацієнта (один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метильного статусу гена SNRPN методом ПЛР (1 раз в житті, до 18 років);</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метильного статусу диференційно метильованих ділянок локусу 11p15 та на хромосомі 7 (синдром Відемана-Беквіта/Рассела-Сільвера) методом MLPA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MECP2 методом прямого автоматичного сиквенування за Сенгером</w:t>
      </w:r>
      <w:r w:rsidRPr="00BE0C42">
        <w:rPr>
          <w:rFonts w:ascii="Times New Roman" w:hAnsi="Times New Roman"/>
          <w:bCs/>
          <w:sz w:val="24"/>
          <w:szCs w:val="24"/>
          <w:highlight w:val="white"/>
        </w:rPr>
        <w:t xml:space="preserve">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 методом прямого автоматичного сиквенування за Сенгером (один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тринуклеотидних повторів в гені FMR1 методом фрагментного аналізу (синдром Мартіна-Белла) (один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аналіз повторів (ТА) гену UGT1A1 методом прямого автоматичного сиквенування за Сенгером (синдром Жильбера) (один раз в житті, без обмеження по віку);</w:t>
      </w:r>
    </w:p>
    <w:p w:rsidR="00CC39F7" w:rsidRPr="00BE0C42" w:rsidRDefault="00CC39F7" w:rsidP="00CC39F7">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 xml:space="preserve">визначення кількості тринуклеотидних повторів в гені </w:t>
      </w:r>
      <w:r w:rsidRPr="00BE0C42">
        <w:rPr>
          <w:rFonts w:ascii="Times New Roman" w:hAnsi="Times New Roman"/>
          <w:bCs/>
          <w:i/>
          <w:sz w:val="24"/>
          <w:szCs w:val="24"/>
          <w:highlight w:val="white"/>
        </w:rPr>
        <w:t>PHOX2B</w:t>
      </w:r>
      <w:r w:rsidRPr="00BE0C42">
        <w:rPr>
          <w:rFonts w:ascii="Times New Roman" w:hAnsi="Times New Roman"/>
          <w:bCs/>
          <w:sz w:val="24"/>
          <w:szCs w:val="24"/>
          <w:highlight w:val="white"/>
        </w:rPr>
        <w:t xml:space="preserve"> методом фрагментного аналізу (синдром центральної гіповентиляції (Ундіни)) (1 раз в житті, до 18 років);</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хромосомний мікроматричний аналіз (ХМА);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кісткового мозку;</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найпоширеніших транскриптів реарранжировок онкогена KMT2A-MLLT3 (MLL/AF9)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В-клітинного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Т-клітинного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експресії гену PRDM16 методом ПЛР з детекцією в реальному часі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найпоширеніших транскриптів злитого химерного онкогену KIAA1549::BRAF, методом ПЛР з детекцією в реальному часі, в зразку пухлинних клітин;</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ZFTA::RELA, методом ПЛР з детекцією в реальному часі, в зразку пухлинних клітин;</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EWSR1::FLI1, методом ПЛР з детекцією в реальному часі, в зразку пухлинних клітин;</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PAX3::FOXO1A, методом ПЛР з детекцією в реальному часі, в зразку пухлинних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комплексна первинна діагностика мієлопроліферативних захворювань (справжня поліцитемія, есенціальна тромбоцитопенія та первинний мієлофіброз)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FLT3-ITD в зразку кісткового мозку або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в зразку кісткового мозку або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-675 5G/4G в гені SERPINE1 (РАІ-1) (інгибитор активатору плазміногена І типу)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р.M235T в гені AGT (ангіотинзиногену)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А1298С в гені MTHFR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делецій в групі генів IKZF1 plus, методом мультиплексної лігазно-залежної ампліфікації зондів (MLPA)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 в гені IKZF1 на рівні 1-6 екзонів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V617F в гені JAK2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JAK2 (екзон 12)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D816V в гені c-KIT при діагностиці системного мастоцитозу або лейкемії, яка асоційована з даним захворюванням,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NPM1 (нуклеофозмін-1)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варіантів в гені MPL (10 екзон)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CALR (кальретикуліну)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A1298C в гені MTHFR методом ПЛР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ступеню метилювання промотора MGMT методом ПЛР з детекцією в реальному часі в біологічному матеріалі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відносно контрольного гена ABL1, для контролю мінімальної залишкової хвороби (MRD) з детекцією в реальному часі в зразку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кількісне визначення експресії онкогена BCR-ABL1, (р.190 – транскрипту) для контролю мінімальної залишкової хвороби (MRD) з детекцією в реальному часі в зразках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ETV6-RUNX1 (TEL-AML) для контролю мінімальної залишкової хвороби (MRD) з детекцією в реальному часі в зразках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(MLL-AF4 тип e10e4, MLL-AF4 тип e9e5, MLL-AF4 тип e11e5) онкогена KMT2A-AFF1 для контролю мінімальної залишкової хвороби (MRD) з детекцією в реальному часі в зразках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(MLL-AF9 тип В е8е9, MLL-AF9 е8е10, MLL-AF9 тип А е10е6) онкогена KMT2A-MLLT3 для контролю мінімальної залишкової хвороби (MRD) з детекцією в реальному часі в зразку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1) для контролю мінімальної залишкової хвороби (MRD) з детекцією в реальному часі в зразках кісткового мозку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3) для контролю мінімальної залишкової хвороби (MRD) з детекцією в реальному часі в зразках кісткового мозку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RUNX1-RUNX1T1 (AML/ETO) для контролю мінімальної залишкової хвороби (MRD) з детекцією в реальному часі в зразках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A) для контролю мінімальної залишкової хвороби (MRD) з детекцією в реальному часі в зразках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D) для контролю мінімальної залишкової хвороби (MRD)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Е) для контролю мінімальної залишкової хвороби (MRD)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TCF3-PBX1 (E2A/PBX1) для контролю мінімальної залишкової хвороби (MRD)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SIL-TAL1 для контролю мінімальної залишкової хвороби (MRD) з детекцією в реальному часі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мутацій в генах IDH1 (p.R132H та p.R132C) та IDH2 (p.R172M та p.R172K),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p.V600E в гені BRAF,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мутацій в гені BRAF V600 (E, E2, D, D2, K, R і M), методом ПЛР з детекцією в реальному часі, в зразку пухлинних клітин або FFPE;</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перший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другий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ампліфікації 21 хромосоми (iamp21), методом мультиплексної лігазно-залежної ампліфікації зондів (MLPA), в зразку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виявлення делецій/дуплікацій в гені RB1, методом мультиплексної лігазно-залежної ампліфікації зондів (MLPA), в зразку периферійної крові, тканини пухлини,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6, 14q, 16 і 17 у пацієнтів з медулобластомами (набір 1),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2, 3, 7 і 9 у пацієнтів з медулобластомами (набір 2),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1, 4q, 5q, 8, 10 і 20 у пацієнтів з медулобластомами (набір 3),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та варіантів в генах BRAF (p.V600E), IDH1 (p.R132H та p.R132C), IDH2 (p.R172M та p.R172K), точкових варіантів для виявлення геномних дуплікацій, що призводять до злиття генів SRGAP3-RAF1, KIAA1549-BRAF і FGFR1-TACC1, аберацій кількості копій у BRAF, CDKN2A, CDKN2B, FGFR1, MYB і MYBL1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в генах, що розташовані на хромосомах 1p-19q, CDKN2A, CDKN2B та варіантів у генах IDH1 (p.R132H та p.R132C), IDH2 (p.R172M та p.R172K)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варіантів в гені TERT (C228T та C250T), визначення кількості хромосом 7 і 10, та CNV (делецій/дуплікацій) у наступних генах PDGFRA (4q12), EGFR (7p11.2), CDKN2A (9p21.3), PTEN (10q23.31), CDK4, MIR26A2, MDM2 (12q14-q15) і NFKBIA (14q13.2) і TP53 (17p13.1), методом мультиплексної лігазно-залежної ампліфікації зондів (MLPA), в зразку пухлинних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у наступних генах PDGFRA (4q12), EGFR (7p11.2), CDKN2A (9p21.3), PTEN (10q23.31), CDK4, MIR26A2, MDM2 (12q14-q15) і NFKBIA (14q13.2) і TP53 (17p13.1),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аномального метилювання та CNV (делецій/дуплікацій) гена MGMT, а також варіантів в генах IDH1 (p.R132H та p.R132C), IDH2 (p.R172M та p.R172K) та TERT (C228T та C250T), методом мультиплексної лігазно-залежної ампліфікації зондів (MLPA), в зразку пухлинних клітин;</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1, 3 і 11 (набір 1), методом мультиплексної лігазно-залежної ампліфікації зондів (MLPA), в зразку пухлинних клітин;</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2, включаючи визначення статусу ампліфікації гену MYCN і 17 (набір 2), методом мультиплексної лігазно-залежної ампліфікації зондів (MLPA), в зразку пухлинних клітин;</w:t>
      </w:r>
    </w:p>
    <w:p w:rsidR="00CC39F7" w:rsidRPr="00BE0C42" w:rsidRDefault="00CC39F7" w:rsidP="00CC39F7">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4, 7, 9, 12 і 14 (набір 3), методом мультиплексної лігазно-залежної ампліфікації зондів (MLPA), в зразку пухлинних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варіанту FLT3-ITD методом алель-специфічної ПЛР та подальшим STR-аналізом (коротких тандемних повторів), в зразку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FLT3-TKD (p.D835) методом алель-специфічної ПЛР та подальшим STR-аналізом (коротких тандемних повторів), в зразку кісткового мозку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GATA1 методом прямого автоматичного секвенування за Сенгером в зразку кісткового мозку пацієнта або периферійної крові;</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злитому гені BCR::ABL1 методом прямого автоматичного секвенування за Сенгером в зразку кісткового мозку або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дослідження РНК транскриптів для визначення експресії генів, соматичних варіантів, варіантів в транскриптомі, злиття генів, включаючи нові злиття, соматичних та гермінальних </w:t>
      </w:r>
      <w:r w:rsidRPr="00BE0C42">
        <w:rPr>
          <w:rFonts w:ascii="Times New Roman" w:hAnsi="Times New Roman"/>
          <w:bCs/>
          <w:sz w:val="24"/>
          <w:szCs w:val="24"/>
        </w:rPr>
        <w:lastRenderedPageBreak/>
        <w:t>варіантів перебудов у пацієнтів з онкологічними захворюваннями методом таргетного секвенування наступного покоління (NGS);</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мієлопроліферативними захворюваннями методом таргетного секвенування наступного покоління (NGS);</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ДНК та РНК пацієнтів з мієлопроліферативними захворюваннями методом таргетного секвенування наступного покоління (NGS);</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гені TP53 методом секвенування наступного покоління (NGS)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нейрофіброматозом методом таргетного секвенування наступного покоління (NGS) з використанням Custom-панель NF1_NF2_SPRED1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гермінальних варіантів перебудов у пацієнтів з вродженими анеміями методом таргетного секвенування наступного покоління (NGS) в біологічному зразку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клітин кісткового мозку з фарбуванням GTG-методом;</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лімфоцитів периферичної крові з фарбуванням GTG-методом;</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наявності центромери CEP7 (D7Z1) хромосоми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на препараті відбитку пухлини;</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зразку клітин випітної рідини;</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периферійної крові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на препараті відбитку пухлини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на препараті відбитку пухлини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(BCR-ABL1) методом флуоресцентної in situ гібридизації для визначення мінімальної залишкової хвороби (MRD) в біологічному зразку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(BCR-BL1)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делеції 5p15.2 – 5q33-q34 (D5S23, D5S721, CSF1R)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клітинах періферійної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8q24 – 14q34 CEP8 (IGH-MYC) методом флуоресцентної in situ гібридизації для визначення мінімальної залишкової хвороби (MRD) в зразку кісткового мозку (на 1000 клітин);</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(3 зонди);</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(4 зонди);</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(6 зондів);</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моніторинг химеризму (центромерні проби на статеві хромосоми) методом флуоресцентної in situ гібридизації(FISH) в зразках кісткового мозку та периферійної крові для різностатевих донора та реципієнта;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кісткового мозку пацієнта;</w:t>
      </w:r>
    </w:p>
    <w:p w:rsidR="00CC39F7" w:rsidRPr="00BE0C42" w:rsidRDefault="00CC39F7" w:rsidP="00CC39F7">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периферійної крові пацієнта.</w:t>
      </w:r>
    </w:p>
    <w:p w:rsidR="00CC39F7" w:rsidRDefault="00CC39F7" w:rsidP="00CC39F7">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8. Інші дослідження:</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сечі (якісне та кількісне визначення білка, глюкози, кетонових тіл, білірубіну, уробіліну, гемоглобіну/еритроцитів, нітритів (якісне), мікроальбуміну, осмоляльності, лейкоцитів, мікроскопічне дослідження, концентраційна спроможність нирок і добовий діурез за методом Зимницького, кількість формених елементів (лейкоцитів, еритроцитів, циліндрів) в сечі за методом Нечипоренка;</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калу: фізичні властивості, реакція на приховану кров, мікроскопічне дослідження, виявлення яєць гельмінтів, найпростіших, дослідження зі шкрябу з періанальних складок на яйця гостриків;</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кальпротектин, фекальний кальпротектин (кількісний та якісний);</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шлункового та дуоденального вмісту: фізичні властивості, мікроскопічне дослідження, виявлення найпростіших (лямблій);  </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мокротиння: фізичні властивості, мікроскопічне дослідження, виявлення мікобактерій туберкульозу (кислотостійких бактерій);</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спинномозкової рідини: фізичні властивості, мікроскопічне та хімічні дослідження;</w:t>
      </w:r>
    </w:p>
    <w:p w:rsidR="00CC39F7" w:rsidRDefault="00CC39F7" w:rsidP="00CC39F7">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випітних рідин (ексудатів, транссудатів): фізичні властивості, мікроскопічне та хімічні дослідження;</w:t>
      </w:r>
    </w:p>
    <w:p w:rsidR="00CC39F7" w:rsidRDefault="00CC39F7" w:rsidP="00CC39F7">
      <w:pPr>
        <w:shd w:val="clear" w:color="auto" w:fill="FFFFFF"/>
        <w:tabs>
          <w:tab w:val="left" w:pos="360"/>
        </w:tabs>
        <w:spacing w:after="240"/>
        <w:ind w:firstLine="567"/>
        <w:jc w:val="both"/>
        <w:rPr>
          <w:rFonts w:ascii="Times New Roman" w:hAnsi="Times New Roman"/>
          <w:sz w:val="24"/>
          <w:szCs w:val="24"/>
        </w:rPr>
      </w:pPr>
      <w:r>
        <w:rPr>
          <w:rFonts w:ascii="Times New Roman" w:hAnsi="Times New Roman"/>
          <w:sz w:val="24"/>
          <w:szCs w:val="24"/>
        </w:rPr>
        <w:t>дослідження синовіальної рідини: фізичні властивості, мікроскопічне та хімічні дослідження.</w:t>
      </w:r>
    </w:p>
    <w:p w:rsidR="00CC39F7" w:rsidRPr="00177720" w:rsidRDefault="00CC39F7" w:rsidP="00CC39F7">
      <w:pPr>
        <w:pBdr>
          <w:top w:val="nil"/>
          <w:left w:val="nil"/>
          <w:bottom w:val="nil"/>
          <w:right w:val="nil"/>
          <w:between w:val="nil"/>
        </w:pBdr>
        <w:shd w:val="clear" w:color="auto" w:fill="FFFFFF"/>
        <w:spacing w:before="480"/>
        <w:ind w:right="-280" w:firstLine="20"/>
        <w:jc w:val="center"/>
        <w:rPr>
          <w:rFonts w:ascii="Times New Roman" w:hAnsi="Times New Roman"/>
          <w:b/>
          <w:color w:val="000000"/>
          <w:sz w:val="24"/>
          <w:szCs w:val="24"/>
          <w:lang w:val="uk-UA"/>
        </w:rPr>
      </w:pPr>
      <w:bookmarkStart w:id="5" w:name="_heading=h.htnq9arg3sxa" w:colFirst="0" w:colLast="0"/>
      <w:bookmarkEnd w:id="5"/>
      <w:r>
        <w:rPr>
          <w:rFonts w:ascii="Times New Roman" w:hAnsi="Times New Roman"/>
          <w:b/>
          <w:color w:val="000000"/>
          <w:sz w:val="24"/>
          <w:szCs w:val="24"/>
        </w:rPr>
        <w:t>Додаток 2. Перелік груп ургентних станів</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9634"/>
      </w:tblGrid>
      <w:tr w:rsidR="00CC39F7" w:rsidTr="0036465B">
        <w:trPr>
          <w:trHeight w:val="285"/>
        </w:trPr>
        <w:tc>
          <w:tcPr>
            <w:tcW w:w="96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Деменція та інші хронічні мозкові синдроми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Делірій</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Інсульт та інші порушення мозкового кровообігу</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ТІА та прецеребральна оклюзія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Судоми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Неврологічні розлади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органів зору</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вуха, носа, рота та горла</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Значні захворювання органів дихання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Хронічна обструктивна хвороба легень</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Астма</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верхніх дихальних шляхів</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нижніх дихальних шляхів</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дихання, інше</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Гострі коронарні синдроми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Аритмія і зупинка серця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Серцева недостатність і шок</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грудях</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кровообігу, інше</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кровотеча</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непрохідність</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Перитоніт і перфорація шлунково-кишкового тракту</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Езофагіт і гастроентерит</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животі</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травної системи, інше</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функції печінки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жовчного міхура, жовчовивідних шляхів і підшлункової залози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Кістково-м’язові та м’язово-сухожильні розлади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шкіри та підшкірної клітковини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Захворювання шкіри, інше</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Цукровий діабет</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Метаболічні та аліментарні розлади, інше</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Ниркова недостатність</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Сечові камені та непрохідність</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нирок і сечовивідних шляхів</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нирок і сечовивідних шляхів, інші</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Чоловічі захворювання сечостатевої системи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Гінекологічні розлади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Післяпологовий та післяабортний стан</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Передпологові та інші акушерські стани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Розлади імунної системи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функції еритроцитів</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гемостазу</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Новоутворення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Септицемія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Вірусні захворювання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Лихоманка невідомого походження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Інфекційні та паразитарні хвороби, інші</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поведінки, пов’язані з алкоголем та наркотиками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Психози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нейроповедінкові розлади, інші</w:t>
            </w:r>
          </w:p>
        </w:tc>
      </w:tr>
      <w:tr w:rsidR="00CC39F7" w:rsidTr="0036465B">
        <w:trPr>
          <w:trHeight w:val="570"/>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голови, внутрішньочерепної системи, хребта, внутрішніх органів та інші складні травми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тазу і стегна</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вивихи і пошкодження зв'язок</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інші</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Пошкодження пальців рук, ніг і поверхневі травми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Опіки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Отруєння</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Алергічні реакції</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Ускладнення після надання медичної стаціонарної, у т.ч. хірургічної допомоги</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Больовий синдром</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Симптоми, інше</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Жорстоке поводження та зневага</w:t>
            </w:r>
          </w:p>
        </w:tc>
      </w:tr>
      <w:tr w:rsidR="00CC39F7" w:rsidTr="0036465B">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CC39F7" w:rsidRDefault="00CC39F7" w:rsidP="0036465B">
            <w:pPr>
              <w:shd w:val="clear" w:color="auto" w:fill="FFFFFF"/>
              <w:spacing w:before="240" w:after="240"/>
              <w:jc w:val="both"/>
              <w:rPr>
                <w:rFonts w:ascii="Times New Roman" w:hAnsi="Times New Roman"/>
                <w:sz w:val="24"/>
                <w:szCs w:val="24"/>
              </w:rPr>
            </w:pPr>
            <w:r>
              <w:rPr>
                <w:rFonts w:ascii="Times New Roman" w:hAnsi="Times New Roman"/>
                <w:sz w:val="24"/>
                <w:szCs w:val="24"/>
              </w:rPr>
              <w:t>Інші фактори, що впливають на стан здоров'я</w:t>
            </w:r>
          </w:p>
        </w:tc>
      </w:tr>
    </w:tbl>
    <w:p w:rsidR="00CC39F7" w:rsidRDefault="00CC39F7" w:rsidP="00CC39F7">
      <w:pPr>
        <w:pBdr>
          <w:top w:val="nil"/>
          <w:left w:val="nil"/>
          <w:bottom w:val="nil"/>
          <w:right w:val="nil"/>
          <w:between w:val="nil"/>
        </w:pBdr>
        <w:shd w:val="clear" w:color="auto" w:fill="FFFFFF"/>
        <w:spacing w:before="240"/>
        <w:jc w:val="center"/>
        <w:rPr>
          <w:rFonts w:ascii="Times New Roman" w:hAnsi="Times New Roman"/>
          <w:b/>
          <w:color w:val="000000"/>
          <w:sz w:val="24"/>
          <w:szCs w:val="24"/>
        </w:rPr>
      </w:pPr>
      <w:bookmarkStart w:id="6" w:name="_heading=h.cd1jh4bnrvw" w:colFirst="0" w:colLast="0"/>
      <w:bookmarkEnd w:id="6"/>
      <w:r>
        <w:rPr>
          <w:rFonts w:ascii="Times New Roman" w:hAnsi="Times New Roman"/>
          <w:b/>
          <w:color w:val="000000"/>
          <w:sz w:val="24"/>
          <w:szCs w:val="24"/>
        </w:rPr>
        <w:t>Додаток 3.Коди спостережень в ЕСОЗ для лабораторних досліджень</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575"/>
        <w:gridCol w:w="8059"/>
      </w:tblGrid>
      <w:tr w:rsidR="00CC39F7" w:rsidTr="0036465B">
        <w:trPr>
          <w:trHeight w:val="285"/>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Код лоінку</w:t>
            </w:r>
          </w:p>
        </w:tc>
        <w:tc>
          <w:tcPr>
            <w:tcW w:w="805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Назва</w:t>
            </w:r>
          </w:p>
        </w:tc>
      </w:tr>
      <w:tr w:rsidR="00CC39F7" w:rsidTr="0036465B">
        <w:trPr>
          <w:trHeight w:val="285"/>
        </w:trPr>
        <w:tc>
          <w:tcPr>
            <w:tcW w:w="9634"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CC39F7" w:rsidRDefault="00CC39F7" w:rsidP="0036465B">
            <w:pPr>
              <w:shd w:val="clear" w:color="auto" w:fill="FFFFFF"/>
              <w:spacing w:before="240"/>
              <w:ind w:left="360"/>
              <w:jc w:val="both"/>
              <w:rPr>
                <w:rFonts w:ascii="Times New Roman" w:hAnsi="Times New Roman"/>
                <w:b/>
                <w:sz w:val="24"/>
                <w:szCs w:val="24"/>
              </w:rPr>
            </w:pPr>
            <w:r>
              <w:rPr>
                <w:rFonts w:ascii="Times New Roman" w:hAnsi="Times New Roman"/>
                <w:b/>
                <w:sz w:val="24"/>
                <w:szCs w:val="24"/>
              </w:rPr>
              <w:t>1.</w:t>
            </w:r>
            <w:r>
              <w:rPr>
                <w:rFonts w:ascii="Times New Roman" w:hAnsi="Times New Roman"/>
                <w:sz w:val="14"/>
                <w:szCs w:val="14"/>
              </w:rPr>
              <w:t xml:space="preserve">     </w:t>
            </w:r>
            <w:r>
              <w:rPr>
                <w:rFonts w:ascii="Times New Roman" w:hAnsi="Times New Roman"/>
                <w:b/>
                <w:sz w:val="24"/>
                <w:szCs w:val="24"/>
              </w:rPr>
              <w:t>Клас «Гематологія»</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71713-2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Піруваткіназа [Ферментативна активність/речовина] в еритроцитах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К [Наявність] на еритроцитах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Еритроцитарні антитіла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Прямий антиглобуліновий тест. поліспецифічний реагент [Наявність] на еритроцитах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1008-2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Непрямий антиглобуліновий тест. поліспецифічний реагент [Наявність]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Метгемоглобін/загальний гемоглобін у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97553-2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Дезоксигемоглобін/гемоглобін загальний у центральній венозній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11559-2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Частка оксигемоглобіну в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3289-6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протромбіну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3198-9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3209-4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VІІІ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ІХ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3232-6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ХІІ в плазмі, бідній тромбоцитами, за результатами аналізу коагуляції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27818-4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С в плазмі, бідній тромбоцитами, за хромогенним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31102-7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S в плазмі, бідній тромбоцитами, за хромогенним методом</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94555-0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dRVVT/dRVVT. надлишок фосфоліпідів [Співвідношення] в плазмі, бідній тромбоцитами, за допомогою аналізу коагуляції -- після нейтралізації DOAC</w:t>
            </w:r>
          </w:p>
        </w:tc>
      </w:tr>
      <w:tr w:rsidR="00CC39F7" w:rsidTr="0036465B">
        <w:trPr>
          <w:trHeight w:val="5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27810-1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інгібітор плазміну в плазмі, бідній тромбоцитами, за хромогенним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28660-9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плазміноген в плазмі, бідній тромбоцитами, за хромогенним методом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48065-7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Фібрин D-димер FEU [Маса/об’єм] в плазмі, бідній тромбоцитами</w:t>
            </w:r>
          </w:p>
        </w:tc>
      </w:tr>
      <w:tr w:rsidR="00CC39F7" w:rsidTr="0036465B">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ind w:left="360"/>
              <w:jc w:val="both"/>
              <w:rPr>
                <w:rFonts w:ascii="Times New Roman" w:hAnsi="Times New Roman"/>
                <w:b/>
                <w:sz w:val="24"/>
                <w:szCs w:val="24"/>
              </w:rPr>
            </w:pPr>
            <w:r>
              <w:rPr>
                <w:rFonts w:ascii="Times New Roman" w:hAnsi="Times New Roman"/>
                <w:b/>
                <w:sz w:val="24"/>
                <w:szCs w:val="24"/>
              </w:rPr>
              <w:t>2.</w:t>
            </w:r>
            <w:r>
              <w:rPr>
                <w:rFonts w:ascii="Times New Roman" w:hAnsi="Times New Roman"/>
                <w:sz w:val="14"/>
                <w:szCs w:val="14"/>
              </w:rPr>
              <w:t xml:space="preserve">     </w:t>
            </w:r>
            <w:r>
              <w:rPr>
                <w:rFonts w:ascii="Times New Roman" w:hAnsi="Times New Roman"/>
                <w:b/>
                <w:sz w:val="24"/>
                <w:szCs w:val="24"/>
              </w:rPr>
              <w:t>Клас «Біохімія»</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u w:val="single"/>
              </w:rPr>
            </w:pPr>
            <w:hyperlink r:id="rId5">
              <w:r w:rsidRPr="00130D7E">
                <w:rPr>
                  <w:rFonts w:ascii="Times New Roman" w:hAnsi="Times New Roman"/>
                  <w:sz w:val="24"/>
                  <w:szCs w:val="24"/>
                  <w:u w:val="single"/>
                </w:rPr>
                <w:t>16362-6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Аміак [Моль/об’єм] у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u w:val="single"/>
              </w:rPr>
            </w:pPr>
            <w:hyperlink r:id="rId6">
              <w:r w:rsidRPr="00130D7E">
                <w:rPr>
                  <w:rFonts w:ascii="Times New Roman" w:hAnsi="Times New Roman"/>
                  <w:sz w:val="24"/>
                  <w:szCs w:val="24"/>
                  <w:u w:val="single"/>
                </w:rPr>
                <w:t>46099-8</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Кальцій [Маса/об’єм] скоригований на альбумін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14927-8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Тригліцерид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u w:val="single"/>
              </w:rPr>
            </w:pPr>
            <w:hyperlink r:id="rId7">
              <w:r w:rsidRPr="00130D7E">
                <w:rPr>
                  <w:rFonts w:ascii="Times New Roman" w:hAnsi="Times New Roman"/>
                  <w:sz w:val="24"/>
                  <w:szCs w:val="24"/>
                  <w:u w:val="single"/>
                </w:rPr>
                <w:t>14933-6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Урат [Моль/об'єм]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14646-4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Холестерин ліпопротеїнів високої щільності [Моль/об’єм]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22748-8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Холестерин ліпопротеїнів низької щільності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12556-7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Мідь [Маса/об'єм]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5681-2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Марганець [Маса/об'єм]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Селен [Маса/об'єм] у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9786-5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шляхом фарбування періодичною кислотою-Шиффа</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11016-3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методом фарбування естеразою. неспецифічний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14798-3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Залізо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2502-3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Насичення залізом [Масова частка]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color w:val="1155CC"/>
                <w:sz w:val="24"/>
                <w:szCs w:val="24"/>
                <w:u w:val="single"/>
              </w:rPr>
            </w:pPr>
            <w:hyperlink r:id="rId8">
              <w:r w:rsidRPr="00130D7E">
                <w:rPr>
                  <w:rFonts w:ascii="Times New Roman" w:hAnsi="Times New Roman"/>
                  <w:sz w:val="24"/>
                  <w:szCs w:val="24"/>
                  <w:u w:val="single"/>
                </w:rPr>
                <w:t>14800-7</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Залізозв'язуюча здатність заліза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[Маса/об'єм] у рідині організму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47600-2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[Моль/об'єм] у рідині організму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2685-6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33781-6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44802-7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спинномозковій рідині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15060-7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83114-9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Кальцій-зв’язуючий протеїн S100B [Маса/об’єм] у сироватці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32554-8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Тіамін [Моль/об'єм]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73723-9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Рибофлавін [Моль/об'єм]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79402-4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Ніацин [Моль/об'єм]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39786-9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Пірідоксін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1903-4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Аскорбат [Маса/об'єм] у сироватці або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1823-4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Альфа-токоферол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3433-0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Карбомазепін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29529-5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Ацетамінофен [Наявність]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11253-2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Такролімус[Маса/об'єм] в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3793-7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Метотрексат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14334-7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25463-1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8147-1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Амфетаміни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51690-6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Амфетамін [Наявність] у крові скринінговим методом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10338-2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Барбітурати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11024-7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3390-2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18282-4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Канабіноїди [Наявність] у сечі методом скринінгу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3879-4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Опіати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3936-2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Фенциклідин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4086-5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Вальпроат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Хлориди [Моль/об'єм] у поті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14920-3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Вільний тироксин (Т4)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14930-2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14928-6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вільний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3013-0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14918-7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[Моль/об'єм]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14866-8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Паратирін (паратиреоїдний гормон)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10501-5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Лютропін [одиниці/об’єм]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1668-3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17-гідроксипрогестерон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Соматотропін [Маса/об'єм]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21198-7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Субодиниця хоріогонадотропіну.бета [Одиниці/об’єм]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1834-1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19176-7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[Одиниці/об'єм]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2250-9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Естріол (Е3) неконьюгований [Маса/об'єм]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47255-5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IN-кінцевий пропептид проколагенового типу [Маса/об’єм]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41171-0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Колаген зчеплений з С-телопептидом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62290-2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1,25-дигідроксивітамін D [Маса/об'єм]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79282-0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Біоптерин/Біоптерин+Неоптерин [Молярне співвідношення]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2676-5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Органічні кислоти [Наявність]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16550-6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Вуглеводи [Ідентифікація]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34466-3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Вуглеводи [Наявність]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2818-3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Порфірини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12467-7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Амінокислоти [Ідентифікація]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16711-4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Цистин+гомоцистин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17492-0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Пролін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Гомогенизат [Наявність]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17752-7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Триптофан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29276-3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Кальцій [Наявність]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32240-4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Фруктоза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33903-6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2309-3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Галактоза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2553-6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Лактоза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2772-2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Фенілпіруват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47100-3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Мідь [Моль/об’єм]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58457-3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Сульфіти [Наявність] у сечі за тест-смужкою</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13964-2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Метилмалонат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26904-3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2-Метилцитрат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13965-9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Гомоцистеїн [Моль/об'єм]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Глікозаміноглікани/креатинін [Масове співвідношення]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2398-6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[Наявність]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u w:val="single"/>
              </w:rPr>
            </w:pPr>
            <w:hyperlink r:id="rId9">
              <w:r w:rsidRPr="00130D7E">
                <w:rPr>
                  <w:rFonts w:ascii="Times New Roman" w:hAnsi="Times New Roman"/>
                  <w:sz w:val="24"/>
                  <w:szCs w:val="24"/>
                  <w:u w:val="single"/>
                </w:rPr>
                <w:t>2399-4</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[Маса/об'єм]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rPr>
            </w:pPr>
            <w:r w:rsidRPr="00130D7E">
              <w:rPr>
                <w:rFonts w:ascii="Times New Roman" w:hAnsi="Times New Roman"/>
                <w:sz w:val="24"/>
                <w:szCs w:val="24"/>
              </w:rPr>
              <w:t>90234-6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Глоботріаозилсфінгозин [Маса/об'єм]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u w:val="single"/>
              </w:rPr>
            </w:pPr>
            <w:hyperlink r:id="rId10">
              <w:r w:rsidRPr="00130D7E">
                <w:rPr>
                  <w:rFonts w:ascii="Times New Roman" w:hAnsi="Times New Roman"/>
                  <w:sz w:val="24"/>
                  <w:szCs w:val="24"/>
                  <w:u w:val="single"/>
                </w:rPr>
                <w:t>38477-6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Pr="00130D7E" w:rsidRDefault="00CC39F7" w:rsidP="0036465B">
            <w:pPr>
              <w:shd w:val="clear" w:color="auto" w:fill="FFFFFF"/>
              <w:spacing w:before="240"/>
              <w:jc w:val="both"/>
              <w:rPr>
                <w:rFonts w:ascii="Times New Roman" w:hAnsi="Times New Roman"/>
                <w:sz w:val="24"/>
                <w:szCs w:val="24"/>
                <w:u w:val="single"/>
              </w:rPr>
            </w:pPr>
            <w:hyperlink r:id="rId11">
              <w:r w:rsidRPr="00130D7E">
                <w:rPr>
                  <w:rFonts w:ascii="Times New Roman" w:hAnsi="Times New Roman"/>
                  <w:sz w:val="24"/>
                  <w:szCs w:val="24"/>
                  <w:u w:val="single"/>
                </w:rPr>
                <w:t>104263-9</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активність/об'єм] у сироватці шляхом LC/MS/MS рідинної хроматографії — мас-спектрометрії</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24061-4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12913-0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1954-7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23825-3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Бета-N-ацетилгексозамінідаза.А/Бета-н-ацетилгексозамінідаза. загальна кількість лейкоцитів</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Альфа-маннозидаза [Ферментативна активність/маса] в лейкоцитах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24068-9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Бета-маннозидаза [Ферментативна активність/маса] в лейкоцитах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32540-7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активність/маса] в лейкоцитах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Альфа-L-ідуронідаза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24089-5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Ідуронат-2-сульфатаза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24086-1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Гепаран-N-сульфатаза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1837-4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Альфа-N-ацетилглюкозамінідаза [Ферментативна активність/об'єм]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24096-0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N-Ацетилгалактозамін-6-сульфатаза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Кисла сфінгомієліназа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Альфа-галактозидаза А [Ферментативна активність/маса] в лейкоцитах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Альфа-фукозидаза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38355-4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Хітотріозидаза [Ферментативна активність/об’єм]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24078-8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24076-2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24094-5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N-Ацетилгалактозамін-4-сульфатаза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1941-4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активність/об’єм]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24065-5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13962-6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94488-4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Кисла альфа-глюкозидаза [Ферментативна активність/маса] в лейкоцитах підтверджуючим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74935-8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Пальмітоілпротеїнова тіоестераза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76038-9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Трипептидилпептидаза I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82883-0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Лізосомальна кисла ліпаза [Ферментативна активність/маса] в лейкоцитах за 4-MU-пальмітатним субстратом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24084-6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активність/маса] в лейкоцитах</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Ацетил-КоА: глюкозамінацетилтрансфераза [Ферментативна активність/маса] в лейкоцитах</w:t>
            </w:r>
          </w:p>
        </w:tc>
      </w:tr>
      <w:tr w:rsidR="00CC39F7" w:rsidTr="0036465B">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ind w:left="360"/>
              <w:jc w:val="both"/>
              <w:rPr>
                <w:rFonts w:ascii="Times New Roman" w:hAnsi="Times New Roman"/>
                <w:sz w:val="24"/>
                <w:szCs w:val="24"/>
              </w:rPr>
            </w:pPr>
            <w:r>
              <w:rPr>
                <w:rFonts w:ascii="Times New Roman" w:hAnsi="Times New Roman"/>
                <w:sz w:val="24"/>
                <w:szCs w:val="24"/>
              </w:rPr>
              <w:t>3.</w:t>
            </w:r>
            <w:r>
              <w:rPr>
                <w:rFonts w:ascii="Times New Roman" w:hAnsi="Times New Roman"/>
                <w:sz w:val="14"/>
                <w:szCs w:val="14"/>
              </w:rPr>
              <w:t xml:space="preserve">     </w:t>
            </w:r>
            <w:r>
              <w:rPr>
                <w:rFonts w:ascii="Times New Roman" w:hAnsi="Times New Roman"/>
                <w:b/>
                <w:sz w:val="24"/>
                <w:szCs w:val="24"/>
              </w:rPr>
              <w:t>Клас «Мікробіологія</w:t>
            </w:r>
            <w:r>
              <w:rPr>
                <w:rFonts w:ascii="Times New Roman" w:hAnsi="Times New Roman"/>
                <w:sz w:val="24"/>
                <w:szCs w:val="24"/>
              </w:rPr>
              <w:t>»</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100897-8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Staphylococcus aureus [Наявність] у зразку, визначення на організм-специфічній культурі</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100899-4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Фенотип резистентності Enterobacteriaceae до бета-лактамази розширеного спектру [Ідентифікація] у матеріалі, визначення на організм-специфічній культурі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100906-7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[#/об'єм] у сечі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101140-2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до Salmonella sр [Наявність] у калі за методом швидкого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10352-3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геніталій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матеріалу з носу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виділень з рани, фарбування за Грамом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104785-1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[Одиниці /об'єм] у сироватці та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105887-4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Adenovirus [Наявність]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106029-2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генітальному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11597-2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13248-0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13294-4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Ванкоміцин-резистентний enterococcus [Наявність] у зразку,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Метицилінрезистентний Staphylococcus aureus [Наявність] у зразку,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color w:val="1155CC"/>
                <w:sz w:val="24"/>
                <w:szCs w:val="24"/>
                <w:u w:val="single"/>
              </w:rPr>
            </w:pPr>
            <w:hyperlink r:id="rId12">
              <w:r w:rsidRPr="00130D7E">
                <w:rPr>
                  <w:rFonts w:ascii="Times New Roman" w:hAnsi="Times New Roman"/>
                  <w:sz w:val="24"/>
                  <w:szCs w:val="24"/>
                  <w:u w:val="single"/>
                </w:rPr>
                <w:t>13953-5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е-антигену вірусу гепатиту В [Наявність ] у сироватці та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14357-8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спинномозкової рідини, фарбування за Грамом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горла/зіву, фарбування за Грамом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14364-4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ока, фарбування за Грамом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вуха, фарбування за Грамом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14478-2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пенісу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16125-7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IgA до Helicobacter pylori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16126-5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16134-9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Neisseria meningitidis [Наявність] у зразку,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16676-9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Corynebacterium diphtheriae [Наявність] у зразку,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16832-8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Ентеротоксичні Escherichia coli ідентифіковані в калі, визначення на організм-специфічній культурі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16937-5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G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17422-7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класів IgG+IgM до Parvovirus B19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17909-3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глибини рани</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628-8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тканині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633-8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у матеріалі з глибини рани</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17928-3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ідентифіковані в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17934-1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ідентифіковані в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19106-4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простого герпесу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20474-3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біопсійній тканині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20879-3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молоці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21406-4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21597-0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Varicella zoster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22128-3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22264-6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22314-9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А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22330-5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22362-8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HTLV I+II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23858-4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спинномозковій рідині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24004-4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24029-1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24114-1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капсидного антигену вірусу Epstein Barr [Наявність]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24312-1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[Наявність] у сироватці шляхом аглютинації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25423-5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25435-9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простого герпесу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25514-1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25542-2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Toxoplasma gondii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26715-3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[Одиниці/об’єм] у сироватці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27414-2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Гриби, виявлені у калі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28549-4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Yersinia sp виявлені в калі,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29248-2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крові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29675-6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29904-0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Toxoplasma gondii [Наявність] у зразку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30340-4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капсидного антигену вірусу Epstein Barr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31204-1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[Наявність ]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31616-6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31844-4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Е-антиген вірусу гепатиту В [Наявність ]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31852-7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31853-5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32026-7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носа, фарбування за Грамом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32286-7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Генотип вірусу гепатиту С [Ідентифікація] у сироватці або плазмі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32365-9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Torque teno [Наявність] у сироватці або плазмі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33464-9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гепатиту D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35283-1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36923-1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[#/об’єм] (вірусне навантаження) у крові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38348-9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6 типа [Ідентифікація] у зразку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40607-4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Ascaris lumbricoides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40987-0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РНК Respiratory syncytial virus [Ідентифікація] у зразку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41026-6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матеріалі з геніталій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41035-7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РНК Norovirus [Наявність]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43307-8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у матеріалі з навколоносових порожнин</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43371-4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Salmonella та Shigella sp, у калі,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44423-2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7 типа [Наявність] у зразку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44508-0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шийці матки</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44981-9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44994-2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B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44995-9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B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45001-5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46198-8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47229-0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спинномозковій рідині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47431-2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49334-6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Adenovirus [#/об’єм] (вірусне навантаження) у сироватці або плазмі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49777-6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G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сечі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зразку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5002-1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крові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5005-4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зразку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50344-1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рідині організму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50346-6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церебральній спинномозковій рідині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50348-2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крові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51458-8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51459-6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Giardia lamblia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51806-8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51807-6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51824-1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С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51914-0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IgM+IgG до ядерного антигену вірусу гепатиту В [Наявність ]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5256-3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[Одиниці/об’єм] у сироватці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color w:val="1155CC"/>
                <w:sz w:val="24"/>
                <w:szCs w:val="24"/>
                <w:u w:val="single"/>
              </w:rPr>
            </w:pPr>
            <w:hyperlink r:id="rId13">
              <w:r w:rsidRPr="00130D7E">
                <w:rPr>
                  <w:rFonts w:ascii="Times New Roman" w:hAnsi="Times New Roman"/>
                  <w:sz w:val="24"/>
                  <w:szCs w:val="24"/>
                  <w:u w:val="single"/>
                </w:rPr>
                <w:t>52973-5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трахеальному аспіраті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5335-5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[Одиниці/об’єм] у сироватці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53911-4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жовчі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синовіальній рідині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5850-3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5854-5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зразку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600-7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вуха</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609-8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ока</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621-3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синовіальній рідині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мокротинні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625-4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калі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6317-2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Bordetella sp, у зразку, визначення на організм-специфічній культурі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рані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6331-3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Campylobacter sp, у калі, визначення на організм-специфічній культурі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6409-7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в трахеальному аспіраті мокротиння</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6461-8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калі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мокротиння, фарбування за Грамом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6561-5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Treponema pallidum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6562-3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доTreponema pallidum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6579-7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Vibrio sp виявлені у калі,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6664-7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тканини, фарбування за Грамом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69938-9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РНК Astrovirus [Наявність] у зразку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74420-1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[Одиниці/об’єм] (вірусне навантаження) у сироватці або плазмі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74816-0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ока</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75269-1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геніталій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7817-0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7901-2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IgА до Helicobacter pylori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7970-7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7981-4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8014-3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8040-8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IgМ до Toxoplasma gondii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сироватці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82301-3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Salmonella sp [Наявність] у калі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83065-3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слині (матеріалу з ротової порожнини)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86692-1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РНК ротавірусу A [Наявність] у зразку шляхом ампліфікації НК</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87932-0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навколоносових порожнин</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87961-9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рідині організму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87969-2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крові, фарбування за Грамом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87980-9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матеріалу з навколоносових порожнин</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88586-3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Shigella sp у в калі, визначення на організм-специфічній культурі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90270-0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жовчі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90440-9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BK + вірусу JC [Наявність] у зразку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90460-7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Е [Наявність] у сироватці або плазмі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93840-7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[Одиниці/об’єм] (вірусне навантаження) у крові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94151-8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Бактерії, резистентні до карбапенему, визначення на організм-специфічній культурі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9718-8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[Одиниці/об’єм]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15410-4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Varicella zoster virus [Наявність] у сироватці за результатами імунологічного аналізу</w:t>
            </w:r>
          </w:p>
        </w:tc>
      </w:tr>
      <w:tr w:rsidR="00CC39F7" w:rsidTr="0036465B">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ind w:left="360"/>
              <w:jc w:val="both"/>
              <w:rPr>
                <w:rFonts w:ascii="Times New Roman" w:hAnsi="Times New Roman"/>
                <w:b/>
                <w:sz w:val="24"/>
                <w:szCs w:val="24"/>
              </w:rPr>
            </w:pPr>
            <w:r>
              <w:rPr>
                <w:rFonts w:ascii="Times New Roman" w:hAnsi="Times New Roman"/>
                <w:b/>
                <w:sz w:val="24"/>
                <w:szCs w:val="24"/>
              </w:rPr>
              <w:t>4.</w:t>
            </w:r>
            <w:r>
              <w:rPr>
                <w:rFonts w:ascii="Times New Roman" w:hAnsi="Times New Roman"/>
                <w:sz w:val="14"/>
                <w:szCs w:val="14"/>
              </w:rPr>
              <w:t xml:space="preserve">     </w:t>
            </w:r>
            <w:r>
              <w:rPr>
                <w:rFonts w:ascii="Times New Roman" w:hAnsi="Times New Roman"/>
                <w:b/>
                <w:sz w:val="24"/>
                <w:szCs w:val="24"/>
              </w:rPr>
              <w:t>Клас «Імунологія»</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 8103-4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CD45+CD14+/100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30365-1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Лімфоцити/100 лейкоцитів  крові методом проточної цитометрії (FC)</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90304-7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лімфоцитів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13332-2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CD4+CD25+/100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13343-9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CD4+HLA-DR+/100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CD3+CD8+ (супресор Т8)/100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13337-1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CD8+HLA-DR+/100 клітин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 (хелпери Т4)/клітини CD3+CD8+ (клітини-супресори Т8) [# співвідношення]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CD3+CD25+/100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18408-5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CD3+HLA-DR+/100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34962-1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альфа бета+ /100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38236-6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гамма-дельта+ /100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42189-1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CD3+CD16+CD56+/100 клітин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80700-8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CD25+CD127- (регуляторні Т) клітини/100 CD3+CD4+ клітин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34929-0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34932-4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8117-4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8131-5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CD5+CD19+/100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89358-6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CD27/100 клітин CD19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 /100 лімфоцитів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49841-0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CD19+IgM+/100 клітин  зразку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93353-1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CD64 антиген  [Entitic number] на нейтрофілах методом проточної цитометрії (FC)</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46125-1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кардіоліпіну  [Наявність]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63283-6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мітохондрії M2  [Наявність] у сироватці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42898-7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циклічного цитрулін-вмісткого пептиду [Наявність] у сироватці крові.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54022-9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мутованого цитрулінового виментину [Одиниці/об’єм]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63379-2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дволанцюгової ДНК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10360-6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одноланцюгової ДНК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17355-9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цитоплазматичних структур нейтрофілів [Наявність] у сироватці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тиреоглобуліну [Одиниці/об’єм]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тиреопероксидази [Одиниці/об’єм] у сироватці або плазмі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81787-4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[Наявність] у сироватці або плазмі за результатами імунологічного аналізу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97996-3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[Одиниці/об’єм] у сироватці або плазмі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9443-3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лейкоцитах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20616-9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20617-7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Kappa-ланцюжок  на лімфоцитах/100 лімфоцитів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Lambda-ланцюжок на лімфоцитах/100 лімфоцитів у зразку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32860-9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Альфа-бета-клітини TCR (Т-клітинного рецептору)/100 клітин у зразку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Гамма-дельта-клітини TCR (Т-клітинного рецептору)/100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60346-4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Життєздатні клітини CD34/100 клітин CD34 в рідині організму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33637-0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Фагоцитарний індекс крові за проточною цитометрією (FC)</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26563-7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CD1a/100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CD10/100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77944-7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CD11a/100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32758-5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CD11b/100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21154-0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CD11c/100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20588-0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CD13/100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20589-8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CD14/100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CD15/100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26560-3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CD16/100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CD20/100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CD22/100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32856-7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CD22/100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CD24/100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32495-4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CD25/100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17129-8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CD28/100 клітин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20600-3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CD30/100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17138-9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CD31/100 клітин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20601-1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CD33/100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20602-9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CD34/100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20599-7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20603-7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CD38/100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20608-6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CD41/100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CD42/100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57402-0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CD42a/100 клітин у рідині організму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77946-2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CD42b/100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33033-2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CD45 позитивні події [#]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17157-9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CD45RA/100 клітин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32744-5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CD55/100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21166-4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CD56/100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32857-5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CD3/100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32601-7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CD59/100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21167-2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CD61/100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32747-8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CD64/100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42933-2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51403-4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CD81/100 клітин у кістковому мозку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17210-6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CD95/100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17214-8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CD99/100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32742-9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CD117/100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80223-1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CD4/100 лімфоцитів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51045-3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CD123 бласти/100 бластів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32750-2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CD235a/100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32751-0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HLA-DR+/100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CD5/100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20612-8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CD7/100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80222-3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CD8/100 лімфоцитів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77947-0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CD9/100 клітин у зразку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32759-3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мієлопероксидазою /100 клітин у зразку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38516-1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Термінальна дезоксинуклеотидилтрансфераза (TdT) в клітинах/100 клітин у зразку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50401-9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Титр антитіл до групи крові [Ідентифікація] у сироватці або плазмі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A1 антиген [Наявність] на еритроцитах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1305-2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D антиген [Наявність] у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 антиген [Наявність] на еритроцитах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1021-5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E антиген [Наявність] на еритроцитах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17196-7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крові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54018-7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лактоферину [Наявність]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85086-7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класуIgG до  Еластази  [наявність] у сироватці за результатами імунологічного аналізу</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A2 Антиген [Наявність] на еритроцитах</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9441-7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лімфоцитів/100 лімфоцитів у лейкоцитах</w:t>
            </w:r>
          </w:p>
        </w:tc>
      </w:tr>
      <w:tr w:rsidR="00CC39F7" w:rsidTr="0036465B">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ind w:left="360"/>
              <w:jc w:val="both"/>
              <w:rPr>
                <w:rFonts w:ascii="Times New Roman" w:hAnsi="Times New Roman"/>
                <w:b/>
                <w:sz w:val="24"/>
                <w:szCs w:val="24"/>
              </w:rPr>
            </w:pPr>
            <w:r>
              <w:rPr>
                <w:rFonts w:ascii="Times New Roman" w:hAnsi="Times New Roman"/>
                <w:b/>
                <w:sz w:val="24"/>
                <w:szCs w:val="24"/>
              </w:rPr>
              <w:t>5.</w:t>
            </w:r>
            <w:r>
              <w:rPr>
                <w:rFonts w:ascii="Times New Roman" w:hAnsi="Times New Roman"/>
                <w:sz w:val="14"/>
                <w:szCs w:val="14"/>
              </w:rPr>
              <w:t xml:space="preserve">     </w:t>
            </w:r>
            <w:r>
              <w:rPr>
                <w:rFonts w:ascii="Times New Roman" w:hAnsi="Times New Roman"/>
                <w:b/>
                <w:sz w:val="24"/>
                <w:szCs w:val="24"/>
              </w:rPr>
              <w:t>Клас «Інші»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104404-9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Цисти Giardia lamblia [Наявність] у калі при мікроскопії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10704-5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виявлені в калі шляхом світлової мікроскопії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10855-5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ідентифіковані в дуоденальній або шлунковій рідині за допомогою світлової мікроскопії</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12235-8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в осаді сечі за допомогою світлової мікроскопії</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15076-3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Глюкоза [Моль/об'єм]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1904-2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Аскорбат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1978-6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Білірубін загальний [Маса/об'єм]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20408-1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Лейкоцити [#/об'єм] в сечі за тест-смужкою</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21482-5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24-годинній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2349-9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Глюкоза [Наявність]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2514-8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 за тест-смужкою</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2695-5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Осмоляльність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2756-5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pH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2887-8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Білок [Наявність]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2888-6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30003-8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Мікроальбумін [Маса/об'єм] у 24-годинній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3104-7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Уробілін [Маса/об'єм] в сечі</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5780-2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Кристали [Тип] в дуоденальній рідині методом  світлової мікроскопії</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Гемоглобін [Наявність] у сечі за тест-смужкою</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5804-0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 за тест-смужкою</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79403-2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Азот [Моль/об'єм] у сечі</w:t>
            </w:r>
          </w:p>
        </w:tc>
      </w:tr>
      <w:tr w:rsidR="00CC39F7" w:rsidTr="0036465B">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ind w:left="360"/>
              <w:jc w:val="both"/>
              <w:rPr>
                <w:rFonts w:ascii="Times New Roman" w:hAnsi="Times New Roman"/>
                <w:b/>
                <w:sz w:val="24"/>
                <w:szCs w:val="24"/>
              </w:rPr>
            </w:pPr>
            <w:r>
              <w:rPr>
                <w:rFonts w:ascii="Times New Roman" w:hAnsi="Times New Roman"/>
                <w:b/>
                <w:sz w:val="24"/>
                <w:szCs w:val="24"/>
              </w:rPr>
              <w:t>6.</w:t>
            </w:r>
            <w:r>
              <w:rPr>
                <w:rFonts w:ascii="Times New Roman" w:hAnsi="Times New Roman"/>
                <w:sz w:val="14"/>
                <w:szCs w:val="14"/>
              </w:rPr>
              <w:t xml:space="preserve">     </w:t>
            </w:r>
            <w:r>
              <w:rPr>
                <w:rFonts w:ascii="Times New Roman" w:hAnsi="Times New Roman"/>
                <w:b/>
                <w:sz w:val="24"/>
                <w:szCs w:val="24"/>
              </w:rPr>
              <w:t>Генетика</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101224-4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генів PKD1 та PKD2 у крові або тканині методом MLPA (мультиплексної лігазно-залежної ампліфікації зондів)</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101385-3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Аналіз делеції, дуплікації та повний аналіз мутацій гена NF1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101663-3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Т-клітинний гострий лімфобластний лейкоз у крові або тканині методом флюоресцентної гібридизації in situ (FISH)</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101920-7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Таргетні перебудови генів при хронічному лімфоцитарному лейкозі у крові або кістковому мозку методом флюоресцентної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102100-5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В-клітинний гострий лімфобластний лейкоз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102101-3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Гострий мієлоїдний лейкоз у крові або тканині методом флюоресцентної гібридизації in situ (FISH)</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103566-6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Метагеномне секвенування ДНК та РНК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103680-5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Повний аналіз мутацій гена TP53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103726-6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ділянки 20q12/Підраховані клітини у крові або кістковому мозку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103734-0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дисеритропоетичної анемії у зразку методом секвенування</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104169-8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D13S319 у кістковому мозку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13330-6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Тільця Барра [Наявність] у шийці матки методом світлової мікроскопії</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18272-5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РНК [Одиниці/об'єм] у сироватці</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21551-7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21732-3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Тестування мутацій гена RB1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21759-6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Повтори CGG гена FMR1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21782-8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t(12;21)(p13;q22.3)(ETV6,RUNX1)/Загальна кількість клітин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21791-9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t(6;9)(p22;q34)(DEK,NUP214)/Загальна кількість клітин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21793-5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t(8;21)(q22;q22.3)(RUNX1T1,RUNX1)/Загальна кількість клітин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транслокацією t(9;11)(p22;q23)(MLLT3,MLL)/ Загальна кількасть клітин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21800-8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21806-5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21815-6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t(4;11)(q21.3;q23)(AFF1,MLL)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21819-8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21820-6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t(9;11)(p22;q23)(MLLT3,MLL)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21821-4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24475-6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c.20210G&gt;A гена F2 [Генотип]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28005-7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c.677C&gt;T гена MTHFR [Генотип]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28060-2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c.1298A&gt;C гена MTHFR [Генотип] у крові або тканині молекулярно-генетичним методом, Номінальний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29770-5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Каріотип [Ідентифікація] у крові або тканині,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35137-9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MECP2 [Ідентифікація]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35291-4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UBE3A [Ідентифікація] у крові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35359-9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AR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35454-8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Перебудови гена MLL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35645-1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гена NSD1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36917-3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Однобатьківська дисомія хромосом [Ідентифікація] в крові або тканині молекулярно-генетичним методом,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38905-6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Мутації гена MLL перевірені в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42634-6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 1p та 19q [Наявність] у фіксованій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42635-3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Тетрасомія хромосоми 12p [Наявність] у фіксованій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гена 7q31 при ГМЛ/МДС [Ідентифікація]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42714-6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43399-5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Мутація p.Val617Phe гена JAK2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45180-7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хромосоми 1p [Наявність] у крові або тканині молекулярно-генетичним методом </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45267-2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48970-8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ELN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49028-4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Синдроми мікроделецій [Ідентифікація] у крові або тканині методом флуоресцентної гібридизації in situ (FISH),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49039-1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субтеломер [Ідентифікація] у крові або тканині методом флуоресцентної гібридизації in situ (FISH), Номінальний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49492-2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спинномозковій рідині, Описовий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49493-0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крові, Описовий</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49494-8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плевральній рідині,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49706-5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ARSA [Ідентифікація]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49795-8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e1a2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50659-2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хромосом.інтерфаза [Інтерпретація] у кістковому мозку методом флуоресцентної гібридизації in situ (FISH),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51867-0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у крові або тканині методом флуоресцентної гібридизації in situ (FISH)</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52132-8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e1a2/контрольний транскрипт [# Співвідношення]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52757-2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Варіант c.-675 4G+5G гена SERPINE1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54448-6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NPM1 [Ідентифікація]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55135-8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 Виявлені мутації кіназного домену BCR-ABL1 [Ідентифікація] в крові або тканині молекулярно-генетичним методом,  Номінальний</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55147-3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b2a2+b3a2/контрольний транскрипт [# Співвідношення]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55300-8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екзону 12 гена JAK2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57310-5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SRY [Ідентифікація]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57318-8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13+18+21+X+Y у крові або тканині методом флуоресцентної гібридизації in situ (FISH),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58009-2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Мутація p.Trp515 гена MPL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58415-1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Мутація p.Val600Glu гена BRAF [Наявність] у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60279-7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Асоційований варіант rs12979860 гена IL28B [Наявність] у крові або тканині молекулярно-генетичним методом</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62359-5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Метод бендингу хромосом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64083-9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Оцінка метилювання гена MGMT у тканині молекулярно-генетичним методом </w:t>
            </w:r>
          </w:p>
        </w:tc>
      </w:tr>
      <w:tr w:rsidR="00CC39F7" w:rsidTr="0036465B">
        <w:trPr>
          <w:trHeight w:val="135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69380-4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b2a2+b3a2/контрольний транскрипт (Міжнародна шкала)</w:t>
            </w:r>
          </w:p>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 [# Співвідношення]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70111-0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Кількість присутніх хромосом 21 [#] у амніотичній рідині шляхом ампліфікації НК</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70279-5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t(5;17)(q25.1;q21.1)(NPM1,RARA)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70288-6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t(17;19)(q22;p13.3)(HLF,TCF3)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70289-4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Del(1)(p32p32)(STIL,TAL1) [Наявність] у крові або тканині молекулярно-генетичним методом </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70291-0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 [Наявність]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72207-4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t(8;21)(q22;q22.3)(RUNX1T1,RUNX1)/контрольний транскрипт [# Співвідношення]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72209-0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кістковому мозку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72210-8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72214-0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bcr3/контрольний транскрипт [# Співвідношення] у крові або тканині молекулярно-генетичним методом</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72215-7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bcr2/контрольний транскрипт [# Співвідношення]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72216-5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bcr1/контрольний транскрипт [# Співвідношення]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72218-1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t(12;21)(p13;q22.3)(ETV6,RUNX1)/контрольний транскрипт [# Співвідношення]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t(1;19)(q23.3;p13.3)(PBX1,TCF3)/контрольний транскрипт [# Співвідношення]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72313-0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t(4;11)(q21.3;q23)(AFF1,MLL)/контрольний транскрипт [# Співвідношення] у крові або тканині молекулярно-генетичним методом </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72496-3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Двоспіральна ДНК [Маса/об'єм] у зразку</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72654-7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делеції та дуплікації гена SNRPN 15q11 [Ідентифікація] у крові або тканині методом флуоресцентної гібридизації in situ FISH, Номінальний</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72726-3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t(4;14)(p16;q32)(FGFR3,IGH) [Ідентифікація] у крові або тканині методом флуоресцентної гібридизації in situ FISH,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73749-4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хромосоми 4p16.3 [Ідентифікація] у крові або тканині методом флуоресцентної гібридизації in situ (FISH),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73977-1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пов'язаний з раком,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75018-2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e19a2 [Наявність] у крові або тканині молекулярно-генетичним методом </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75384-8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гена PMP22 у крові або тканині методом MLPA (мультиплексної лігазно-залежної ампліфікації зондів)</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77032-1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t(8;14)(q24;q32)(MYC,IGH)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inv(16)(p13.1;q22.1)(MYH11,CBFB)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77038-8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t(14;18)(q32;q21.3)(IGH,BCL2)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77039-6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у крові або тканині методом флуоресцентної гібридизації in situ (FISH)</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77041-2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inv(3)(q21;q26.2)+t(3;3)(q21;q26.2)(PSMD2,MECOM)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77042-0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t(6;9)(p22;q34)(DEK,NUP214)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77050-3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гена SUGCT, обмежений відомими сімейними мутаціями,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77174-1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екзону 9 гена CALR [Ідентифікація] у крові або тканині молекулярно-генетичним методом, номінальний</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78207-8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9q34 [Інтерпретація] у крові або тканині методом флуоресцентної гібридизації in situ (FISH),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78219-3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[Наявність]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78224-3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RARA [Інтерпретація] у крові або тканині методом флуоресцентної гібридизації in situ (FISH),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[Інтерпретація] у крові або тканині методом флуоресцентної гібридизації in situ (FISH), описовий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78229-2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перебудовами гена MYC/Підраховані клітини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79210-1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79415-6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гена MSH2 у крові або тканині методом MLPA (мультиплексної лігазно-залежної ампліфікації зондів)</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79418-0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екзонів 8 і 9 гена EPCAM у крові або тканині методом MLPA (мультиплексної лігазно-залежної ампліфікації зондів)</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81422-8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екзону 2 гена GATA1 у крові або тканині методом секвенування</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81746-0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17p13.1 у крові або тканині методом флуоресцентної гібридизації in situ (FISH)</w:t>
            </w:r>
          </w:p>
        </w:tc>
      </w:tr>
      <w:tr w:rsidR="00CC39F7" w:rsidTr="0036465B">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81861-7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Каріотип у кістковому мозку</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82243-7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17p13.3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82246-0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хромосомної області 22q11.2 у крові або тканині методом флуоресцентної гібридизації in situ (FISH)</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84912-5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5q31/Підраховані клітини у кістковому мозку методом флуоресцентної гібридизації in situ (FISH)</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84916-6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17p13.1/Підраховані клітини у крові або тканині методом флуоресцентної гібридизації in situ (FISH)</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84921-6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7q31/Підраховані клітини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84922-4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Клітини з моносомією хромосоми 7/Підраховані клітини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87436-2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X та Y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88519-4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c.2447A&gt;T гена KIT [Наявність]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89037-6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дуплікацій та повний аналіз мутацій гена CDKN2A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91712-0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c.1691G&gt;A гена F5 [Генотип] у крові або тканині молекулярно-генетичним методом,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92843-2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Мутації p.Asp835 гена FLT3  [Наявність] у крові або тканині молекулярно-генетичним методом</w:t>
            </w:r>
          </w:p>
        </w:tc>
      </w:tr>
      <w:tr w:rsidR="00CC39F7" w:rsidTr="0036465B">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92844-0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FLT3/до норми [Співвідношення]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92905-9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Кількість копій хромосоми 7 /на ядро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94588-1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Хромосомний аналіз мієлоїдних новоутворень у крові або кістковому мозку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94592-3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Хромосомна перебудова [Ідентифікація]  у крові або тканині методом парного секвенування, номінальний</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95551-8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17p11.2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95553-4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5p15.2 (5p-) [Ідентифікація] у крові або тканині методом флуоресцентної гібридизації in situ (FISH)</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95772-0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генів IDH1 та IDH2 у крові або тканині молекулярно-генетичним методом</w:t>
            </w:r>
          </w:p>
        </w:tc>
      </w:tr>
      <w:tr w:rsidR="00CC39F7" w:rsidTr="0036465B">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97656-3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спадкового раку у крові або тканині молекулярно-генетичним методом</w:t>
            </w:r>
          </w:p>
        </w:tc>
      </w:tr>
      <w:tr w:rsidR="00CC39F7" w:rsidTr="0036465B">
        <w:trPr>
          <w:trHeight w:val="81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99961-5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CC39F7" w:rsidRDefault="00CC39F7" w:rsidP="0036465B">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мієлопроліферативних новоутворень у крові або тканині молекулярно-генетичним методом</w:t>
            </w:r>
          </w:p>
        </w:tc>
      </w:tr>
      <w:bookmarkEnd w:id="3"/>
    </w:tbl>
    <w:p w:rsidR="00CC39F7" w:rsidRPr="0044554B" w:rsidRDefault="00CC39F7" w:rsidP="00CC39F7">
      <w:pPr>
        <w:keepNext/>
        <w:keepLines/>
        <w:pBdr>
          <w:top w:val="nil"/>
          <w:left w:val="nil"/>
          <w:bottom w:val="nil"/>
          <w:right w:val="nil"/>
          <w:between w:val="nil"/>
        </w:pBdr>
        <w:shd w:val="clear" w:color="auto" w:fill="FFFFFF"/>
        <w:spacing w:before="240"/>
        <w:jc w:val="both"/>
        <w:rPr>
          <w:rFonts w:ascii="Times New Roman" w:hAnsi="Times New Roman"/>
          <w:i/>
          <w:color w:val="000000"/>
          <w:sz w:val="24"/>
          <w:szCs w:val="24"/>
          <w:lang w:val="uk-UA"/>
        </w:rPr>
      </w:pPr>
    </w:p>
    <w:p w:rsidR="00CC39F7" w:rsidRDefault="00CC39F7" w:rsidP="00CC39F7">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r>
        <w:rPr>
          <w:rFonts w:ascii="Times New Roman" w:hAnsi="Times New Roman"/>
          <w:b/>
          <w:sz w:val="24"/>
          <w:szCs w:val="24"/>
        </w:rPr>
        <w:t>оговором (Специфікація)</w:t>
      </w:r>
    </w:p>
    <w:p w:rsidR="00CC39F7" w:rsidRDefault="00CC39F7" w:rsidP="00CC39F7">
      <w:pPr>
        <w:pBdr>
          <w:top w:val="nil"/>
          <w:left w:val="nil"/>
          <w:bottom w:val="nil"/>
          <w:right w:val="nil"/>
          <w:between w:val="nil"/>
        </w:pBdr>
        <w:spacing w:line="240" w:lineRule="auto"/>
        <w:ind w:right="40"/>
        <w:jc w:val="both"/>
        <w:rPr>
          <w:rFonts w:ascii="Times New Roman" w:hAnsi="Times New Roman"/>
          <w:sz w:val="24"/>
          <w:szCs w:val="24"/>
        </w:rPr>
      </w:pPr>
    </w:p>
    <w:p w:rsidR="00CC39F7"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r>
        <w:rPr>
          <w:rFonts w:ascii="Times New Roman" w:hAnsi="Times New Roman"/>
          <w:sz w:val="24"/>
          <w:szCs w:val="24"/>
        </w:rPr>
        <w:t>оговору надавач медичних послуг зобов’язується забезпечити наступний обсяг послуги (специфікація) відповідно до потреб пацієнта:</w:t>
      </w:r>
      <w:bookmarkStart w:id="7" w:name="_heading=h.30j0zll"/>
      <w:bookmarkEnd w:id="7"/>
    </w:p>
    <w:p w:rsidR="00CC39F7"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lang w:val="uk-UA"/>
        </w:rPr>
        <w:t xml:space="preserve">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color w:val="000000"/>
          <w:sz w:val="24"/>
          <w:szCs w:val="24"/>
          <w:lang w:val="uk-UA"/>
        </w:rPr>
        <w:t xml:space="preserve">1. </w:t>
      </w:r>
      <w:r w:rsidRPr="009A0A74">
        <w:rPr>
          <w:rFonts w:ascii="Times New Roman" w:hAnsi="Times New Roman"/>
          <w:color w:val="000000"/>
          <w:sz w:val="24"/>
          <w:szCs w:val="24"/>
        </w:rPr>
        <w:t>Надання пацієнту/пацієнтці консультативно-діагностичної, лікувально-профілактичної спеціалізованої медичної допомоги та послуг у галузі охорони здоров’я (Сервіс «Консультування та лікування») за такими класами: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1.1. Кардіологія – </w:t>
      </w:r>
      <w:r w:rsidRPr="009A0A74">
        <w:rPr>
          <w:rFonts w:ascii="Times New Roman" w:hAnsi="Times New Roman"/>
          <w:color w:val="000000"/>
          <w:sz w:val="24"/>
          <w:szCs w:val="24"/>
        </w:rPr>
        <w:t>консультування, діагностика, оцінювання, спостереження, лікування</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хвороб серця, серцевої недостатності, гіпертензії, хвороби серцевих клапанів, хвороби коронарних судин, проблем з серцевою електрофізіологією, а також консультування пацієнтів після проведення інструментальних досліджень та досліджень з візуалізації (УЗД, МРТ, КТ-ангіогра</w:t>
      </w:r>
      <w:r w:rsidRPr="009A0A74">
        <w:rPr>
          <w:rFonts w:ascii="Times New Roman" w:hAnsi="Times New Roman"/>
          <w:sz w:val="24"/>
          <w:szCs w:val="24"/>
        </w:rPr>
        <w:t>фії</w:t>
      </w:r>
      <w:r w:rsidRPr="009A0A74">
        <w:rPr>
          <w:rFonts w:ascii="Times New Roman" w:hAnsi="Times New Roman"/>
          <w:color w:val="000000"/>
          <w:sz w:val="24"/>
          <w:szCs w:val="24"/>
        </w:rPr>
        <w:t xml:space="preserve"> коронарних судин), проведення оперативних втручань на клапанах серця, встановлення штучних трансплантантів коронарних судин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1.2. Неврологія – </w:t>
      </w:r>
      <w:r w:rsidRPr="009A0A74">
        <w:rPr>
          <w:rFonts w:ascii="Times New Roman" w:hAnsi="Times New Roman"/>
          <w:color w:val="000000"/>
          <w:sz w:val="24"/>
          <w:szCs w:val="24"/>
        </w:rPr>
        <w:t>консультування, діагностика, оцінювання, лікування розладів нервової системи, зокрема деменції, інсульту/транзиторної ішемічної атаки, рухових розладів, розсіяного склерозу, периферичної нейропатії, епілепсії, а також нейроонкологічних станів.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 Пульмонологія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легенів, плевральної порожнини, бронхів, трахеї, верхніх дихальних шляхів, </w:t>
      </w:r>
      <w:r w:rsidRPr="009A0A74">
        <w:rPr>
          <w:rFonts w:ascii="Times New Roman" w:hAnsi="Times New Roman"/>
          <w:color w:val="000000"/>
          <w:sz w:val="24"/>
          <w:szCs w:val="24"/>
        </w:rPr>
        <w:lastRenderedPageBreak/>
        <w:t>нервів і дихальних м’язів.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1.4. Гастроентерологія </w:t>
      </w:r>
      <w:r w:rsidRPr="009A0A74">
        <w:rPr>
          <w:rFonts w:ascii="Times New Roman" w:hAnsi="Times New Roman"/>
          <w:color w:val="000000"/>
          <w:sz w:val="24"/>
          <w:szCs w:val="24"/>
        </w:rPr>
        <w:t>– консультування, діагностика, оцінювання, лікування захворювань шлунку та кишечника.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1.5. Ендокринологія </w:t>
      </w:r>
      <w:r w:rsidRPr="009A0A74">
        <w:rPr>
          <w:rFonts w:ascii="Times New Roman" w:hAnsi="Times New Roman"/>
          <w:color w:val="000000"/>
          <w:sz w:val="24"/>
          <w:szCs w:val="24"/>
        </w:rPr>
        <w:t>– менеджмент цукрового діабету, включаючи гестаційний діабет, захворювань щитовидної залози, ускладнень клімаксу, інших захворювань ендокринних залоз, а також консультації з таких послуг: інсулінотерапія, оцінювання та лікування коморбідних захворювань, асоційованих з цукровим діабетом, введення ліків, використання обладнання та приладів, консультування пацієнтів та їх навчання щодо розпізнавання ускладнень та лікування побічних ефектів.</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1.6. Нефрологія </w:t>
      </w:r>
      <w:r w:rsidRPr="009A0A74">
        <w:rPr>
          <w:rFonts w:ascii="Times New Roman" w:hAnsi="Times New Roman"/>
          <w:color w:val="000000"/>
          <w:sz w:val="24"/>
          <w:szCs w:val="24"/>
        </w:rPr>
        <w:t>– консультування, діагностика, оцінювання, лікування гострих пошкоджень нирок, хронічної хвороби нирок, гіпертензії та порушень водно-електролітного балансу. Навчання пацієнтів та їх підтримка у випадках, коли діаліз не проводиться; супровід та медикаментозна терапія пацієнтів після трансплантації нирки, а також супровід та медикаментозна терапія донорів в післяопераційному періоді.</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1.7. Гематологія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крові, тромбозом, зокрема внаслідок хвороб та розладів системи кровообігу.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1.8. Імунологія </w:t>
      </w:r>
      <w:r w:rsidRPr="009A0A74">
        <w:rPr>
          <w:rFonts w:ascii="Times New Roman" w:hAnsi="Times New Roman"/>
          <w:color w:val="000000"/>
          <w:sz w:val="24"/>
          <w:szCs w:val="24"/>
        </w:rPr>
        <w:t>– консультування, діагностика, оцінювання, лікування системних аутоімунних захворювань, системного васкуліту, системних запальних захворювань, алергії, імунодефіциту.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1.9. Інфекційні та паразитарні хвороби –</w:t>
      </w:r>
      <w:r w:rsidRPr="009A0A74">
        <w:rPr>
          <w:rFonts w:ascii="Times New Roman" w:hAnsi="Times New Roman"/>
          <w:color w:val="000000"/>
          <w:sz w:val="24"/>
          <w:szCs w:val="24"/>
        </w:rPr>
        <w:t xml:space="preserve"> консультування, діагностика, оцінювання, лікування заразних за походженням захворювань, спричинених мікроорганізмами, зокрема нозокоміальними (госпітальними) мікроорганізмами або ендогенною мікрофлорою з носа та горла, шкіри чи кишечника. Включає консультування з приводу лікування латентної туберкульозної інфекції, а також обстеження контактних щодо туберкульозу осіб; діагностику та лікування гепатиту В і С; захворювань, що передаються статевим шляхом (ЗПСШ), навчання щодо лікування основного захворювання та ускладнень, пов’язаних з лікуванням.</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Педіатрія</w:t>
      </w:r>
      <w:r w:rsidRPr="009A0A74">
        <w:rPr>
          <w:rFonts w:ascii="Times New Roman" w:hAnsi="Times New Roman"/>
          <w:color w:val="000000"/>
          <w:sz w:val="24"/>
          <w:szCs w:val="24"/>
        </w:rPr>
        <w:t xml:space="preserve"> – консультування, діагностика, оцінювання, лікування всіх типів захворювань немовлят, дітей і підлітків.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дитини,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Спостереження за дітьми з різними вадами розвитку</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та орфанними захворюванням</w:t>
      </w:r>
      <w:r w:rsidRPr="009A0A74">
        <w:rPr>
          <w:rFonts w:ascii="Times New Roman" w:hAnsi="Times New Roman"/>
          <w:color w:val="000000"/>
          <w:sz w:val="24"/>
          <w:szCs w:val="24"/>
        </w:rPr>
        <w:t xml:space="preserve">и – консультування та лікування дітей із затримкою фізичного та інтелектуального розвитку, </w:t>
      </w:r>
      <w:r w:rsidRPr="009A0A74">
        <w:rPr>
          <w:rFonts w:ascii="Times New Roman" w:hAnsi="Times New Roman"/>
          <w:sz w:val="24"/>
          <w:szCs w:val="24"/>
        </w:rPr>
        <w:t>надання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послуги з катамнестичного спостереження. </w:t>
      </w:r>
      <w:r w:rsidRPr="009A0A74">
        <w:rPr>
          <w:rFonts w:ascii="Times New Roman" w:hAnsi="Times New Roman"/>
          <w:color w:val="000000"/>
          <w:sz w:val="24"/>
          <w:szCs w:val="24"/>
        </w:rPr>
        <w:t>Включає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Дерматологія – </w:t>
      </w:r>
      <w:r w:rsidRPr="009A0A74">
        <w:rPr>
          <w:rFonts w:ascii="Times New Roman" w:hAnsi="Times New Roman"/>
          <w:color w:val="000000"/>
          <w:sz w:val="24"/>
          <w:szCs w:val="24"/>
        </w:rPr>
        <w:t>консультування, діагностика, оцінювання, лікування хвороб шкіри.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Ревматологія – </w:t>
      </w:r>
      <w:r w:rsidRPr="009A0A74">
        <w:rPr>
          <w:rFonts w:ascii="Times New Roman" w:hAnsi="Times New Roman"/>
          <w:color w:val="000000"/>
          <w:sz w:val="24"/>
          <w:szCs w:val="24"/>
        </w:rPr>
        <w:t>консультування, діагностика, оцінювання, лікування запалень суглобів і м'яких тканин, захворювань сполучної тканини, артритів, аутоімунних станів,  захворювань хребта (спондилоартрит), післятравматичних ушкоджень м'язів і суглобів.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1.14.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Метаболічні ураження кісток </w:t>
      </w:r>
      <w:r w:rsidRPr="009A0A74">
        <w:rPr>
          <w:rFonts w:ascii="Times New Roman" w:hAnsi="Times New Roman"/>
          <w:color w:val="000000"/>
          <w:sz w:val="24"/>
          <w:szCs w:val="24"/>
        </w:rPr>
        <w:t>– консультування, діагностика, оцінювання, лікування метаболічних уражень кісток (остеопорозу, остеомаляції, рахіту, гіпопаратиреозу, фіброзної остеодистрофії,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Генетика</w:t>
      </w:r>
      <w:r w:rsidRPr="009A0A74">
        <w:rPr>
          <w:rFonts w:ascii="Times New Roman" w:hAnsi="Times New Roman"/>
          <w:color w:val="000000"/>
          <w:sz w:val="24"/>
          <w:szCs w:val="24"/>
        </w:rPr>
        <w:t xml:space="preserve"> – консультування, діагностика, оцінювання, лікування спадкових та/або генетичних розладів, включаючи пренатальну діагностику (крім обстежень, визначених специфікаціями пакету «Ведення вагітності в амбулаторних умовах»).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Геріатрія</w:t>
      </w:r>
      <w:r w:rsidRPr="009A0A74">
        <w:rPr>
          <w:rFonts w:ascii="Times New Roman" w:hAnsi="Times New Roman"/>
          <w:color w:val="000000"/>
          <w:sz w:val="24"/>
          <w:szCs w:val="24"/>
        </w:rPr>
        <w:t xml:space="preserve"> – консультування, діагностика, оцінювання, лікування осіб похилого віку (старше 65 років) зі складними медичними потребами та коморбідними станами.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Психіатрія – </w:t>
      </w:r>
      <w:r w:rsidRPr="009A0A74">
        <w:rPr>
          <w:rFonts w:ascii="Times New Roman" w:hAnsi="Times New Roman"/>
          <w:color w:val="000000"/>
          <w:sz w:val="24"/>
          <w:szCs w:val="24"/>
        </w:rPr>
        <w:t>консультування, діагностика, оцінювання, лікування пацієнтів із розладами психіки та поведінки.  Включає навчання пацієнта/пацієнтки та/або його/її законних представників з метою покращення їх знань, усвідомлення та розуміння хвороби, а також надання рекомендацій із запобігання розвитку загострення хвороби.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Медицина залежності – </w:t>
      </w:r>
      <w:r w:rsidRPr="009A0A74">
        <w:rPr>
          <w:rFonts w:ascii="Times New Roman" w:hAnsi="Times New Roman"/>
          <w:color w:val="000000"/>
          <w:sz w:val="24"/>
          <w:szCs w:val="24"/>
        </w:rPr>
        <w:t xml:space="preserve">консультування, діагностика, оцінювання, лікування, реабілітація пацієнтів із залежністю від наркотиків, алкоголю та інших речовин.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Анестезіологія</w:t>
      </w:r>
      <w:r w:rsidRPr="009A0A74">
        <w:rPr>
          <w:rFonts w:ascii="Times New Roman" w:hAnsi="Times New Roman"/>
          <w:color w:val="000000"/>
          <w:sz w:val="24"/>
          <w:szCs w:val="24"/>
        </w:rPr>
        <w:t xml:space="preserve"> – огляд пацієнтів, яким заплановано оперативне втручання, зокрема оцінювання анестезіологічного ризику, отримання інформованої згоди, якщо дане обстеження проводиться до госпіталізації пацієнта за даним пакетом (за сервісом «Процедури» для класу «Амбулаторна хірургія», «Анестезіологічне забезпечення», «Інтервенційна візуалізація») або за пакетом медичних послуг «Хірургічні операції дорослим та дітям в умовах стаціонару одного дня».</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Онкологія </w:t>
      </w:r>
      <w:r w:rsidRPr="009A0A74">
        <w:rPr>
          <w:rFonts w:ascii="Times New Roman" w:hAnsi="Times New Roman"/>
          <w:color w:val="000000"/>
          <w:sz w:val="24"/>
          <w:szCs w:val="24"/>
        </w:rPr>
        <w:t>– консультування, діагностика, лікування, спостереження за пацієнтами з онкологічними захворюваннями.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Онкогінекологія </w:t>
      </w:r>
      <w:r w:rsidRPr="009A0A74">
        <w:rPr>
          <w:rFonts w:ascii="Times New Roman" w:hAnsi="Times New Roman"/>
          <w:color w:val="000000"/>
          <w:sz w:val="24"/>
          <w:szCs w:val="24"/>
        </w:rPr>
        <w:t>– консультування, спостереження за пацієнтками до та/або після лікування злоякісних новоутворень репродуктивного тракту, включаючи шийку матки, ендометрій, маткові труби, яєчники, матку та піхву, скринінг гінекологічних злоякісних новоутворень. Включає навчання пацієнтки з метою покращення 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Стани, пов’язані з ураженнями молочної залози – </w:t>
      </w:r>
      <w:r w:rsidRPr="009A0A74">
        <w:rPr>
          <w:rFonts w:ascii="Times New Roman" w:hAnsi="Times New Roman"/>
          <w:color w:val="000000"/>
          <w:sz w:val="24"/>
          <w:szCs w:val="24"/>
        </w:rPr>
        <w:t>консультація, діагностика, та лікування уражень молочної залози. Надання всіх послуг, пов'язаних з хірургічним втручанням при діагностованих злоякісних і незлоякісних захворюваннях молочної залози. Включає навчання пацієнтів з метою покращення їх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 консультація, діагностика і лікування пацієнтів, які потребують загальних хірургічних втручань, і тих, хто потребує післяопераційного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1.24.</w:t>
      </w:r>
      <w:r w:rsidRPr="009A0A74">
        <w:rPr>
          <w:rFonts w:ascii="Times New Roman" w:hAnsi="Times New Roman"/>
          <w:color w:val="000000"/>
          <w:sz w:val="24"/>
          <w:szCs w:val="24"/>
        </w:rPr>
        <w:t xml:space="preserve">   </w:t>
      </w:r>
      <w:r w:rsidRPr="009A0A74">
        <w:rPr>
          <w:rFonts w:ascii="Times New Roman" w:hAnsi="Times New Roman"/>
          <w:i/>
          <w:sz w:val="24"/>
          <w:szCs w:val="24"/>
        </w:rPr>
        <w:t>Стани, пов'язані з ураженнями гепатобіліарної системи</w:t>
      </w:r>
      <w:r w:rsidRPr="009A0A74">
        <w:rPr>
          <w:rFonts w:ascii="Times New Roman" w:hAnsi="Times New Roman"/>
          <w:i/>
          <w:color w:val="000000"/>
          <w:sz w:val="24"/>
          <w:szCs w:val="24"/>
        </w:rPr>
        <w:t xml:space="preserve"> – </w:t>
      </w:r>
      <w:r w:rsidRPr="009A0A74">
        <w:rPr>
          <w:rFonts w:ascii="Times New Roman" w:hAnsi="Times New Roman"/>
          <w:color w:val="000000"/>
          <w:sz w:val="24"/>
          <w:szCs w:val="24"/>
        </w:rPr>
        <w:t>до- та післяхірургічне консультування, діагностика, лікування хвороб печінки та жовчовивідної системи, включаючи проведення мінімальних інвазивних процедур, а також лікування травми печінки та жовчовивідних шляхів за потреби.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1.25.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Педіатрична хірургія</w:t>
      </w:r>
      <w:r w:rsidRPr="009A0A74">
        <w:rPr>
          <w:rFonts w:ascii="Times New Roman" w:hAnsi="Times New Roman"/>
          <w:color w:val="000000"/>
          <w:sz w:val="24"/>
          <w:szCs w:val="24"/>
        </w:rPr>
        <w:t xml:space="preserve"> – консультування, діагностика, спостереження, лікування дітей з опіками, хворобами очей, вух і носа, переломами, ортопедичними проблемами, станами після проведення хірургічних втручань з приводу неврологічних проблем, операцій на органах грудної клітки.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Нейрохірургія</w:t>
      </w:r>
      <w:r w:rsidRPr="009A0A74">
        <w:rPr>
          <w:rFonts w:ascii="Times New Roman" w:hAnsi="Times New Roman"/>
          <w:color w:val="000000"/>
          <w:sz w:val="24"/>
          <w:szCs w:val="24"/>
        </w:rPr>
        <w:t xml:space="preserve"> – до- та післяхірургічне консультування, діагностика та лікування пацієнтів з розладами будь-якої частини нервової системи, зокрема мозку, хребта, спинного мозку, периферичних нервів та екстракраніальної цереброваскулярної системи.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Кардіоторакальна хірургія </w:t>
      </w:r>
      <w:r w:rsidRPr="009A0A74">
        <w:rPr>
          <w:rFonts w:ascii="Times New Roman" w:hAnsi="Times New Roman"/>
          <w:color w:val="000000"/>
          <w:sz w:val="24"/>
          <w:szCs w:val="24"/>
        </w:rPr>
        <w:t>– до- та післяхірургічне консультування, діагностика, лікування пацієнтів з хворобами серця та легенів.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Пластична та реконструктивна хірургія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до- та післяхірургічне консультування, пов’язане з відновленням, реконструкцією, виправленням або покращенням форми та зовнішнього вигляду структур тіла, які є дефектними, пошкодженими чи деформованими внаслідок травми, хвороби чи вроджених дефектів, зокрема операції на молочні залозі, операції з приводу щілини губи та щілини піднебіння, хірургічне видалення судинних родимок, вроджених гемангіом, рубців, лікування раку шкіри, хірургія кисті, щелепно-лицева хірургія,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Судинна хірургія </w:t>
      </w:r>
      <w:r w:rsidRPr="009A0A74">
        <w:rPr>
          <w:rFonts w:ascii="Times New Roman" w:hAnsi="Times New Roman"/>
          <w:color w:val="000000"/>
          <w:sz w:val="24"/>
          <w:szCs w:val="24"/>
        </w:rPr>
        <w:t>– консультація, обстеження, огляд та оцінка пацієнтів до та після хірургічного втручання, проведення спеціальної (оклюзійної) медикаментозної терапії, інвазивних хірургічних процедур.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Офтальмологія </w:t>
      </w:r>
      <w:r w:rsidRPr="009A0A74">
        <w:rPr>
          <w:rFonts w:ascii="Times New Roman" w:hAnsi="Times New Roman"/>
          <w:color w:val="000000"/>
          <w:sz w:val="24"/>
          <w:szCs w:val="24"/>
        </w:rPr>
        <w:t>– консультація, діагностика, огляд, лікування станів, пов’язаних із захворюваннями очей, зору і придаткового апарата, а також послуги, пов’язані з втручаннями на оці.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Оториноларингологія </w:t>
      </w:r>
      <w:r w:rsidRPr="009A0A74">
        <w:rPr>
          <w:rFonts w:ascii="Times New Roman" w:hAnsi="Times New Roman"/>
          <w:color w:val="000000"/>
          <w:sz w:val="24"/>
          <w:szCs w:val="24"/>
        </w:rPr>
        <w:t>– консультування, діагностика, оцінювання, лікування пацієнтів із ЛОР захворюваннями, зокрема ведення їх до та/або після операції.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Урологія </w:t>
      </w:r>
      <w:r w:rsidRPr="009A0A74">
        <w:rPr>
          <w:rFonts w:ascii="Times New Roman" w:hAnsi="Times New Roman"/>
          <w:color w:val="000000"/>
          <w:sz w:val="24"/>
          <w:szCs w:val="24"/>
        </w:rPr>
        <w:t>– консультування, діагностика, оцінювання, лікування пацієнтів із захворюваннями сечовивідних шляхів та сечостатевої системи, пацієнтів до та після проведення простатектомії чи інших урологічних операцій.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Гінекологія </w:t>
      </w:r>
      <w:r w:rsidRPr="009A0A74">
        <w:rPr>
          <w:rFonts w:ascii="Times New Roman" w:hAnsi="Times New Roman"/>
          <w:color w:val="000000"/>
          <w:sz w:val="24"/>
          <w:szCs w:val="24"/>
        </w:rPr>
        <w:t>– консультування, діагностика, лікування та спостереження за пацієнтами з проблемами/розладами, пов’язаними з жіночими репродуктивними органами. Включає навчання пацієнт</w:t>
      </w:r>
      <w:r w:rsidRPr="009A0A74">
        <w:rPr>
          <w:rFonts w:ascii="Times New Roman" w:hAnsi="Times New Roman"/>
          <w:sz w:val="24"/>
          <w:szCs w:val="24"/>
        </w:rPr>
        <w:t>ок</w:t>
      </w:r>
      <w:r w:rsidRPr="009A0A74">
        <w:rPr>
          <w:rFonts w:ascii="Times New Roman" w:hAnsi="Times New Roman"/>
          <w:color w:val="000000"/>
          <w:sz w:val="24"/>
          <w:szCs w:val="24"/>
        </w:rPr>
        <w:t xml:space="preserve"> з метою покращення їх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Лікування опіків – </w:t>
      </w:r>
      <w:r w:rsidRPr="009A0A74">
        <w:rPr>
          <w:rFonts w:ascii="Times New Roman" w:hAnsi="Times New Roman"/>
          <w:color w:val="000000"/>
          <w:sz w:val="24"/>
          <w:szCs w:val="24"/>
        </w:rPr>
        <w:t>консультування, обстеження, спеціалізоване лікування пацієнтів з опіками.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черепа, обличчя та щелепно-лицьової зони</w:t>
      </w:r>
      <w:r w:rsidRPr="009A0A74">
        <w:rPr>
          <w:rFonts w:ascii="Times New Roman" w:hAnsi="Times New Roman"/>
          <w:color w:val="000000"/>
          <w:sz w:val="24"/>
          <w:szCs w:val="24"/>
        </w:rPr>
        <w:t xml:space="preserve"> – до- або післяопераційне консультування, діагностика, спостереження та лікування. Включає навчання </w:t>
      </w:r>
      <w:r w:rsidRPr="009A0A74">
        <w:rPr>
          <w:rFonts w:ascii="Times New Roman" w:hAnsi="Times New Roman"/>
          <w:color w:val="000000"/>
          <w:sz w:val="24"/>
          <w:szCs w:val="24"/>
        </w:rPr>
        <w:lastRenderedPageBreak/>
        <w:t>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Ортопедія</w:t>
      </w:r>
      <w:r w:rsidRPr="009A0A74">
        <w:rPr>
          <w:rFonts w:ascii="Times New Roman" w:hAnsi="Times New Roman"/>
          <w:color w:val="000000"/>
          <w:sz w:val="24"/>
          <w:szCs w:val="24"/>
        </w:rPr>
        <w:t xml:space="preserve"> – консультування та хірургічні втручання для збереження та відновлення функції кісткової системи, її суглобів і пов'язаних структур.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Мультидисцплінарні консиліуми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організована заздалегідь зустріч для детального обговорення та координації лікування пацієнта, що проводиться одночасно щонайменше </w:t>
      </w:r>
      <w:r w:rsidRPr="009A0A74">
        <w:rPr>
          <w:rFonts w:ascii="Times New Roman" w:hAnsi="Times New Roman"/>
          <w:sz w:val="24"/>
          <w:szCs w:val="24"/>
        </w:rPr>
        <w:t>трьома лікарями-спеціалістами різних спеціалізацій</w:t>
      </w:r>
      <w:r w:rsidRPr="009A0A74">
        <w:rPr>
          <w:rFonts w:ascii="Times New Roman" w:hAnsi="Times New Roman"/>
          <w:color w:val="000000"/>
          <w:sz w:val="24"/>
          <w:szCs w:val="24"/>
        </w:rPr>
        <w:t>. Консиліум може включати обговорення окремого пацієнта або кількох пацієнтів, при цьому мультидисциплінарний консиліум гарантує, що потреби пацієнта в міждисциплінарній допомозі задовольняються за допомогою спланованого та скоординованого підходу.</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Аудіологія –</w:t>
      </w:r>
      <w:r w:rsidRPr="009A0A74">
        <w:rPr>
          <w:rFonts w:ascii="Times New Roman" w:hAnsi="Times New Roman"/>
          <w:color w:val="000000"/>
          <w:sz w:val="24"/>
          <w:szCs w:val="24"/>
        </w:rPr>
        <w:t xml:space="preserve"> консультації з наступних послуг: перевірки слуху, функціонування внутрішнього вуха, проведення загальних та спеціальних слухових скринінгових тестів.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Терапія з використанням фізичних та інших агентів</w:t>
      </w:r>
      <w:r w:rsidRPr="009A0A74">
        <w:rPr>
          <w:rFonts w:ascii="Times New Roman" w:hAnsi="Times New Roman"/>
          <w:color w:val="000000"/>
          <w:sz w:val="24"/>
          <w:szCs w:val="24"/>
        </w:rPr>
        <w:t xml:space="preserve">, зокрема лікування за допомогою  апаратної терапії (електролікування, магнітолікування, водолікування тощо) пацієнтів з травмами.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1.40.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Психологія</w:t>
      </w:r>
      <w:r w:rsidRPr="009A0A74">
        <w:rPr>
          <w:rFonts w:ascii="Times New Roman" w:hAnsi="Times New Roman"/>
          <w:color w:val="000000"/>
          <w:sz w:val="24"/>
          <w:szCs w:val="24"/>
        </w:rPr>
        <w:t xml:space="preserve"> – оцінка, діагностика та лікування психологічних розладів, пов’язаних зі станами, що впливають на мозок, включає послуги: (а) оцінювання природи когнітивних, поведінкових та емоційних змін, які могли статися внаслідок розвитку набутих або дегенеративних станів, травми головного мозку, (б) оцінювання впливу вищевказаних змін на спосіб життя, (в) когнітивне тестування, (г) когнітивну терапію та психосоціальне консультування. Включає навчання пацієнта/пацієнтки з метою покращення його/її знань, усвідомлення та розуміння свого стану, а також надання рекомендацій із запобігання розвитку погіршення проявів психологічних розладів.</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2.</w:t>
      </w:r>
      <w:r w:rsidRPr="009A0A74">
        <w:rPr>
          <w:rFonts w:ascii="Times New Roman" w:hAnsi="Times New Roman"/>
          <w:sz w:val="24"/>
          <w:szCs w:val="24"/>
        </w:rPr>
        <w:t xml:space="preserve"> </w:t>
      </w:r>
      <w:r w:rsidRPr="009A0A74">
        <w:rPr>
          <w:rFonts w:ascii="Times New Roman" w:hAnsi="Times New Roman"/>
          <w:color w:val="000000"/>
          <w:sz w:val="24"/>
          <w:szCs w:val="24"/>
        </w:rPr>
        <w:t>Проведення діагностично-лікувальних інтервенційних процедур та малих оперативних втручань (Сервіс «Процедури») за такими класами: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2.1. Ендоскопія гастроінтестінальна</w:t>
      </w:r>
      <w:r w:rsidRPr="009A0A74">
        <w:rPr>
          <w:rFonts w:ascii="Times New Roman" w:hAnsi="Times New Roman"/>
          <w:color w:val="000000"/>
          <w:sz w:val="24"/>
          <w:szCs w:val="24"/>
        </w:rPr>
        <w:t xml:space="preserve"> – обстеження та лікування за допомогою ендоскопа.</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2.2. Ендоскопія урологічна/гінекологічна </w:t>
      </w:r>
      <w:r w:rsidRPr="009A0A74">
        <w:rPr>
          <w:rFonts w:ascii="Times New Roman" w:hAnsi="Times New Roman"/>
          <w:color w:val="000000"/>
          <w:sz w:val="24"/>
          <w:szCs w:val="24"/>
        </w:rPr>
        <w:t>– обстеження та лікування за допомогою ендоскопа.</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2.3. Ендоскопія ортопедична </w:t>
      </w:r>
      <w:r w:rsidRPr="009A0A74">
        <w:rPr>
          <w:rFonts w:ascii="Times New Roman" w:hAnsi="Times New Roman"/>
          <w:color w:val="000000"/>
          <w:sz w:val="24"/>
          <w:szCs w:val="24"/>
        </w:rPr>
        <w:t>– обстеження та лікування за допомогою ендоскопа.</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2.4. Ендоскопія органів дихання та ЛОР-органів </w:t>
      </w:r>
      <w:r w:rsidRPr="009A0A74">
        <w:rPr>
          <w:rFonts w:ascii="Times New Roman" w:hAnsi="Times New Roman"/>
          <w:color w:val="000000"/>
          <w:sz w:val="24"/>
          <w:szCs w:val="24"/>
        </w:rPr>
        <w:t>– обстеження та лікування за допомогою ендоскопа.</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2.5. Гіпербарична терапія – </w:t>
      </w:r>
      <w:r w:rsidRPr="009A0A74">
        <w:rPr>
          <w:rFonts w:ascii="Times New Roman" w:hAnsi="Times New Roman"/>
          <w:color w:val="000000"/>
          <w:sz w:val="24"/>
          <w:szCs w:val="24"/>
        </w:rPr>
        <w:t>проведення сеансів гіпербаричної кисневої терапії.</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2.6. Інтервенційна візуалізація</w:t>
      </w:r>
      <w:r w:rsidRPr="009A0A74">
        <w:rPr>
          <w:rFonts w:ascii="Times New Roman" w:hAnsi="Times New Roman"/>
          <w:color w:val="000000"/>
          <w:sz w:val="24"/>
          <w:szCs w:val="24"/>
        </w:rPr>
        <w:t xml:space="preserve"> – діагностики та лікування захворювань шляхом виконання процедур, із застосуванням катетерів, введених через артерію чи вену із одночасним проведенням рентгенівської, магнітної або ультразвукової візуалізації.</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2.7. Амбулаторна хірургія</w:t>
      </w:r>
      <w:r w:rsidRPr="009A0A74">
        <w:rPr>
          <w:rFonts w:ascii="Times New Roman" w:hAnsi="Times New Roman"/>
          <w:color w:val="000000"/>
          <w:sz w:val="24"/>
          <w:szCs w:val="24"/>
        </w:rPr>
        <w:t xml:space="preserve"> – проведення малих хірургічних втручань, які не вимагають госпіталізації пацієнта, в спеціально облаштованих приміщеннях/операційних залах з наданням або без надання послуг з анестезії.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2.8. Медичні процедури</w:t>
      </w:r>
      <w:r w:rsidRPr="009A0A74">
        <w:rPr>
          <w:rFonts w:ascii="Times New Roman" w:hAnsi="Times New Roman"/>
          <w:color w:val="000000"/>
          <w:sz w:val="24"/>
          <w:szCs w:val="24"/>
        </w:rPr>
        <w:t xml:space="preserve"> – проведення медичних процедур, які не вимагають загального наркозу та не є частиною інших спеціалізованих медичних консультацій або інтервенцій, включають інфузії, люмбальну пункцію, тонкоголкову біопсію,  аспірацію, біопсію кісткового мозку, венесекцію, вакцинацію тощо.</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2.9. Менеджмент болю </w:t>
      </w:r>
      <w:r w:rsidRPr="009A0A74">
        <w:rPr>
          <w:rFonts w:ascii="Times New Roman" w:hAnsi="Times New Roman"/>
          <w:color w:val="000000"/>
          <w:sz w:val="24"/>
          <w:szCs w:val="24"/>
        </w:rPr>
        <w:t>– проведення втручань для лікування болю у пацієнтів із тривалим болем середнього та сильного ступеня. Включає методи інтервенційної анестезії, стимуляцію спинного мозку, ін'єкції в суглоби, радіочастотну денервацію, симпатектомію, селективні блокади нервових корінців, епідуральні ін'єкції, кріотерапію, менеджмент систем інтратекального введення ліків.</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2.10. Анестезіологічне забезпечення - </w:t>
      </w:r>
      <w:r w:rsidRPr="009A0A74">
        <w:rPr>
          <w:rFonts w:ascii="Times New Roman" w:hAnsi="Times New Roman"/>
          <w:color w:val="000000"/>
          <w:sz w:val="24"/>
          <w:szCs w:val="24"/>
        </w:rPr>
        <w:t>анестезіологічне забезпечення під час виконання болісних інвазивних діагностичних та інших лікувальних процедур.</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lastRenderedPageBreak/>
        <w:t xml:space="preserve">2.11. </w:t>
      </w:r>
      <w:r w:rsidRPr="009A0A74">
        <w:rPr>
          <w:rFonts w:ascii="Times New Roman" w:hAnsi="Times New Roman"/>
          <w:i/>
          <w:sz w:val="24"/>
          <w:szCs w:val="24"/>
        </w:rPr>
        <w:t>Радіаційна терапія</w:t>
      </w:r>
      <w:r w:rsidRPr="009A0A74">
        <w:rPr>
          <w:rFonts w:ascii="Times New Roman" w:hAnsi="Times New Roman"/>
          <w:sz w:val="24"/>
          <w:szCs w:val="24"/>
        </w:rPr>
        <w:t xml:space="preserve"> - лікування методом променевої терапії, що  передбачає використання рентгенівських променів, радіоактивних речовин та інших форм променевої терапії для лікування пухлинних та непухлинних захворювань.</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3.</w:t>
      </w:r>
      <w:r w:rsidRPr="009A0A74">
        <w:rPr>
          <w:rFonts w:ascii="Times New Roman" w:hAnsi="Times New Roman"/>
          <w:color w:val="000000"/>
          <w:sz w:val="24"/>
          <w:szCs w:val="24"/>
          <w:lang w:val="uk-UA"/>
        </w:rPr>
        <w:t xml:space="preserve"> </w:t>
      </w:r>
      <w:r w:rsidRPr="009A0A74">
        <w:rPr>
          <w:rFonts w:ascii="Times New Roman" w:hAnsi="Times New Roman"/>
          <w:color w:val="000000"/>
          <w:sz w:val="24"/>
          <w:szCs w:val="24"/>
        </w:rPr>
        <w:t>Проведення діагностичних інструментальних досліджень (Сервіс «Інструментальна діагностика»), за такими класами: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3.1. Магнітно-резонансна томографія.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3.2. Комп’ютерна томографія.</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3.3. Рентгенологічні дослідження.</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3.4. Ультразвукове дослідження</w:t>
      </w:r>
      <w:r w:rsidRPr="009A0A74">
        <w:rPr>
          <w:rFonts w:ascii="Times New Roman" w:hAnsi="Times New Roman"/>
          <w:color w:val="000000"/>
          <w:sz w:val="24"/>
          <w:szCs w:val="24"/>
        </w:rPr>
        <w:t>.</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3.5. Клінічні інструментальні дослідження (</w:t>
      </w:r>
      <w:r w:rsidRPr="009A0A74">
        <w:rPr>
          <w:rFonts w:ascii="Times New Roman" w:hAnsi="Times New Roman"/>
          <w:color w:val="000000"/>
          <w:sz w:val="24"/>
          <w:szCs w:val="24"/>
        </w:rPr>
        <w:t>оцінка уродинаміки, моніторинг рухливості стравоходу та pH, оцінювання функції дихання, тести на визначення легеневої функції, спірометрія, дослідження сну, стрес-електрокардіограма (ЕКГ), електроенцефалограма (ЕЕГ), електроміограма (ЕМГ), спеціалізовані кардіологічні дослідження (включаючи послуги холтерівського монітору), нейрофізіологічні, нейропсихологічні дослідження, тощо).</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3.6. </w:t>
      </w:r>
      <w:r w:rsidRPr="009A0A74">
        <w:rPr>
          <w:rFonts w:ascii="Times New Roman" w:hAnsi="Times New Roman"/>
          <w:i/>
          <w:sz w:val="24"/>
          <w:szCs w:val="24"/>
        </w:rPr>
        <w:t>Ядерна медицина.</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4. Проведення та/або організація проведення необхідних лабораторних досліджень (Сервіс “Лабораторна діагностика”) за такими класами: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4.1. Клас «Гематологія» </w:t>
      </w:r>
      <w:r w:rsidRPr="009A0A74">
        <w:rPr>
          <w:rFonts w:ascii="Times New Roman" w:hAnsi="Times New Roman"/>
          <w:color w:val="000000"/>
          <w:sz w:val="24"/>
          <w:szCs w:val="24"/>
        </w:rPr>
        <w:t xml:space="preserve"> - проведення гематологічних досліджень (гемоглобін та його сполуки, клітини крові, кістковий мозок) (Додаток 1, пункт 1, коди спостережень в ЕСОЗ у додатку 3, пункт 1).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4.2. Клас «Біохімія»</w:t>
      </w:r>
      <w:r w:rsidRPr="009A0A74">
        <w:rPr>
          <w:rFonts w:ascii="Times New Roman" w:hAnsi="Times New Roman"/>
          <w:color w:val="000000"/>
          <w:sz w:val="24"/>
          <w:szCs w:val="24"/>
        </w:rPr>
        <w:t xml:space="preserve"> - проведення біохімічних досліджень (Додаток 1, пункт 2, коди спостережень в ЕСОЗ у додатку 3, пункт 2).</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«Мікробіологія»</w:t>
      </w:r>
      <w:r w:rsidRPr="009A0A74">
        <w:rPr>
          <w:rFonts w:ascii="Times New Roman" w:hAnsi="Times New Roman"/>
          <w:color w:val="000000"/>
          <w:sz w:val="24"/>
          <w:szCs w:val="24"/>
        </w:rPr>
        <w:t xml:space="preserve"> - проведення мікробіологічних досліджень (Додаток 1, пункт 3, коди спостережень в ЕСОЗ у додатку 3, пункт 3).</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4.4. Клас  «Імунологія»</w:t>
      </w:r>
      <w:r w:rsidRPr="009A0A74">
        <w:rPr>
          <w:rFonts w:ascii="Times New Roman" w:hAnsi="Times New Roman"/>
          <w:color w:val="000000"/>
          <w:sz w:val="24"/>
          <w:szCs w:val="24"/>
        </w:rPr>
        <w:t xml:space="preserve"> - проведення імунологічних досліджень (Додаток 1, пункт 4, коди спостережень в ЕСОЗ у додатку 3, пункт 4).</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4.5. Клас «Тканинна патологія»</w:t>
      </w:r>
      <w:r w:rsidRPr="009A0A74">
        <w:rPr>
          <w:rFonts w:ascii="Times New Roman" w:hAnsi="Times New Roman"/>
          <w:color w:val="000000"/>
          <w:sz w:val="24"/>
          <w:szCs w:val="24"/>
        </w:rPr>
        <w:t xml:space="preserve"> - проведення гістологічних досліджень (Додаток 1, пункт 5).</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4.6. Клас «Цитологія»</w:t>
      </w:r>
      <w:r w:rsidRPr="009A0A74">
        <w:rPr>
          <w:rFonts w:ascii="Times New Roman" w:hAnsi="Times New Roman"/>
          <w:color w:val="000000"/>
          <w:sz w:val="24"/>
          <w:szCs w:val="24"/>
        </w:rPr>
        <w:t xml:space="preserve"> - проведення цитологічних досліджень (Додаток 1, пункт 6).</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4.7. Клас  «Генетика»</w:t>
      </w:r>
      <w:r w:rsidRPr="009A0A74">
        <w:rPr>
          <w:rFonts w:ascii="Times New Roman" w:hAnsi="Times New Roman"/>
          <w:color w:val="000000"/>
          <w:sz w:val="24"/>
          <w:szCs w:val="24"/>
        </w:rPr>
        <w:t xml:space="preserve"> - проведення генетичних досліджень (Додаток 1, пункт 7, коди спостережень в ЕСОЗ у додатку 3, пункт 6).</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«Інші дослідження»</w:t>
      </w:r>
      <w:r w:rsidRPr="009A0A74">
        <w:rPr>
          <w:rFonts w:ascii="Times New Roman" w:hAnsi="Times New Roman"/>
          <w:color w:val="000000"/>
          <w:sz w:val="24"/>
          <w:szCs w:val="24"/>
        </w:rPr>
        <w:t xml:space="preserve"> (Додаток 1, пункт 8, коди спостережень в ЕСОЗ у додатку 3, пункт 5).</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5. </w:t>
      </w:r>
      <w:r w:rsidRPr="009A0A74">
        <w:rPr>
          <w:rFonts w:ascii="Times New Roman" w:hAnsi="Times New Roman"/>
          <w:color w:val="000000"/>
          <w:sz w:val="24"/>
          <w:szCs w:val="24"/>
        </w:rPr>
        <w:t>Призначення та/або корекція медикаментозного лікування.</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6</w:t>
      </w:r>
      <w:r w:rsidRPr="009A0A74">
        <w:rPr>
          <w:rFonts w:ascii="Times New Roman" w:hAnsi="Times New Roman"/>
          <w:color w:val="000000"/>
          <w:sz w:val="24"/>
          <w:szCs w:val="24"/>
        </w:rPr>
        <w:t>.  Динамічне спостереження за пацієнтом/пацієнткою із хронічними захворюваннями.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7</w:t>
      </w:r>
      <w:r w:rsidRPr="009A0A74">
        <w:rPr>
          <w:rFonts w:ascii="Times New Roman" w:hAnsi="Times New Roman"/>
          <w:color w:val="000000"/>
          <w:sz w:val="24"/>
          <w:szCs w:val="24"/>
        </w:rPr>
        <w:t xml:space="preserve">.  Надання медичної допомоги в умовах денного стаціонару. </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8</w:t>
      </w:r>
      <w:r w:rsidRPr="009A0A74">
        <w:rPr>
          <w:rFonts w:ascii="Times New Roman" w:hAnsi="Times New Roman"/>
          <w:color w:val="000000"/>
          <w:sz w:val="24"/>
          <w:szCs w:val="24"/>
        </w:rPr>
        <w:t>. Організація своєчасного знеболення на всіх етапах діагностики та лікування: обов’язкове анестезіологічне забезпечення під час виконання всіх інвазивних діагностичних та інших лікувальних процедур.</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9.  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10. Оформлення довідок, формування медичних висновків про тимчасову непрацездатність та спрямування пацієнта/пацієнтки на оцінювання повсякденного функціонування особи лікарями експертної комісії з оцінювання повсякденного функціонування особи.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11. 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12. Направлення пацієнта/пацієнтки за наявності показань для надання спеціалізованої медичної допомоги </w:t>
      </w:r>
      <w:r w:rsidRPr="009A0A74">
        <w:rPr>
          <w:rFonts w:ascii="Times New Roman" w:hAnsi="Times New Roman"/>
          <w:sz w:val="24"/>
          <w:szCs w:val="24"/>
        </w:rPr>
        <w:t>у</w:t>
      </w:r>
      <w:r w:rsidRPr="009A0A74">
        <w:rPr>
          <w:rFonts w:ascii="Times New Roman" w:hAnsi="Times New Roman"/>
          <w:color w:val="000000"/>
          <w:sz w:val="24"/>
          <w:szCs w:val="24"/>
        </w:rPr>
        <w:t xml:space="preserve"> стаціонарних умовах та послуг з реабілітації.</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13. Надання результатів обстежень з візуалізації (рентгенологічні обстеження, комп’ютерна томографія, магнітно-резонансна томографія) на електронному носії пацієнта (диску) </w:t>
      </w:r>
      <w:r w:rsidRPr="009A0A74">
        <w:rPr>
          <w:rFonts w:ascii="Times New Roman" w:hAnsi="Times New Roman"/>
          <w:sz w:val="24"/>
          <w:szCs w:val="24"/>
        </w:rPr>
        <w:t>у</w:t>
      </w:r>
      <w:r w:rsidRPr="009A0A74">
        <w:rPr>
          <w:rFonts w:ascii="Times New Roman" w:hAnsi="Times New Roman"/>
          <w:color w:val="000000"/>
          <w:sz w:val="24"/>
          <w:szCs w:val="24"/>
        </w:rPr>
        <w:t xml:space="preserve"> разі потреби.</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lastRenderedPageBreak/>
        <w:t>14. Забезпечення надання медичної допомоги методами і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color w:val="000000"/>
          <w:sz w:val="24"/>
          <w:szCs w:val="24"/>
          <w:lang w:val="uk-UA"/>
        </w:rPr>
      </w:pPr>
      <w:r w:rsidRPr="009A0A74">
        <w:rPr>
          <w:rFonts w:ascii="Times New Roman" w:hAnsi="Times New Roman"/>
          <w:color w:val="000000"/>
          <w:sz w:val="24"/>
          <w:szCs w:val="24"/>
        </w:rPr>
        <w:t>15.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b/>
          <w:i/>
          <w:color w:val="000000"/>
          <w:sz w:val="24"/>
          <w:szCs w:val="24"/>
          <w:lang w:val="uk-UA"/>
        </w:rPr>
      </w:pPr>
      <w:r w:rsidRPr="009A0A74">
        <w:rPr>
          <w:rFonts w:ascii="Times New Roman" w:hAnsi="Times New Roman"/>
          <w:b/>
          <w:i/>
          <w:color w:val="000000"/>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CC39F7" w:rsidRPr="009A0A74" w:rsidRDefault="00CC39F7" w:rsidP="00CC39F7">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CC39F7" w:rsidRPr="009A0A74" w:rsidRDefault="00CC39F7" w:rsidP="00CC39F7">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Надання цілодобової медичної допомоги пацієнту/пацієнтці у приймальному відділенні/відділенні екстреної та невідкладної допомоги/травмпункті. </w:t>
      </w:r>
    </w:p>
    <w:p w:rsidR="00CC39F7" w:rsidRPr="009A0A74" w:rsidRDefault="00CC39F7" w:rsidP="00CC39F7">
      <w:pPr>
        <w:pStyle w:val="ab"/>
        <w:pBdr>
          <w:top w:val="nil"/>
          <w:left w:val="nil"/>
          <w:bottom w:val="nil"/>
          <w:right w:val="nil"/>
          <w:between w:val="nil"/>
        </w:pBdr>
        <w:spacing w:line="240" w:lineRule="auto"/>
        <w:ind w:left="567" w:right="40"/>
        <w:jc w:val="both"/>
        <w:rPr>
          <w:rFonts w:ascii="Times New Roman" w:hAnsi="Times New Roman"/>
        </w:rPr>
      </w:pPr>
    </w:p>
    <w:p w:rsidR="00CC39F7" w:rsidRPr="009A0A74" w:rsidRDefault="00CC39F7" w:rsidP="00CC39F7">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Цілодобове проведення лабораторних досліджень, зокрема: </w:t>
      </w:r>
    </w:p>
    <w:p w:rsidR="00CC39F7" w:rsidRPr="009A0A74" w:rsidRDefault="00CC39F7" w:rsidP="00CC39F7">
      <w:pPr>
        <w:pStyle w:val="ab"/>
        <w:pBdr>
          <w:top w:val="nil"/>
          <w:left w:val="nil"/>
          <w:bottom w:val="nil"/>
          <w:right w:val="nil"/>
          <w:between w:val="nil"/>
        </w:pBdr>
        <w:spacing w:line="240" w:lineRule="auto"/>
        <w:ind w:left="567" w:right="40"/>
        <w:jc w:val="both"/>
        <w:rPr>
          <w:rFonts w:ascii="Times New Roman" w:hAnsi="Times New Roman"/>
        </w:rPr>
      </w:pP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розгорнутий клінічний аналіз крові;</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визначення групи крові і резус-фактора;</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біохімічний аналіз крові (загальний білок, альбумін, альфа-амілаза, аспартатамінотрансфераза (АсАТ), аланінамінотрансфераза (АлАТ), білірубін і його фракції (загальний, прямий, непрямий), креатинін, сечовина, електроліти: калій, кальцій, хлор, натрій, магній; лужна фосфатаза, лактатдегідрогеназа,);  гама-глутамілтранспептидаза; креатинфосфокіназа загальна (КФК); креатинфосфокиназа-МВ;</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гострофазові показники: С-реактивний білок (CРБ), прокальцитонін);</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коагуляційний гемостаз (тромбіновий час, активований частковий (парціальний) тромбопластиновий час (АЧТЧ, АПТЧ), фібриноген, міжнародне нормалізоване відношення (МНВ), D-димер);</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 тест на тропонін;</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глюкоза в цільній крові або сироватці крові;</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загальний аналіз сечі;</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кал на приховану кров; </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швидкі тести;</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лабораторні дослідження відповідно до галузевих стандартів.</w:t>
      </w:r>
    </w:p>
    <w:p w:rsidR="00CC39F7" w:rsidRPr="009A0A74" w:rsidRDefault="00CC39F7" w:rsidP="00CC39F7">
      <w:pPr>
        <w:pStyle w:val="ab"/>
        <w:pBdr>
          <w:top w:val="nil"/>
          <w:left w:val="nil"/>
          <w:bottom w:val="nil"/>
          <w:right w:val="nil"/>
          <w:between w:val="nil"/>
        </w:pBdr>
        <w:spacing w:line="240" w:lineRule="auto"/>
        <w:ind w:left="0" w:right="40" w:firstLine="567"/>
        <w:jc w:val="both"/>
        <w:rPr>
          <w:rFonts w:ascii="Times New Roman" w:hAnsi="Times New Roman"/>
        </w:rPr>
      </w:pPr>
    </w:p>
    <w:p w:rsidR="00CC39F7" w:rsidRPr="009A0A74" w:rsidRDefault="00CC39F7" w:rsidP="00CC39F7">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Цілодобове проведення інструментальних досліджень, зокрема:</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рентгенологічні дослідження, зокрема, комп’ютерна томографія (зокрема з внутрішньовенним контрастуванням);</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магнітно-резонансна томографія (зокрема з внутрішньовенним контрастуванням);</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ультразвукові дослідження, зокрема, із проведенням доплерографії;</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ендоскопічні дослідження;</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електрокардіографія (ЕКГ);</w:t>
      </w:r>
    </w:p>
    <w:p w:rsidR="00CC39F7" w:rsidRPr="009A0A74" w:rsidRDefault="00CC39F7" w:rsidP="00CC39F7">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інструментальні дослідження відповідно до галузевих стандартів у сфері охорони здоров</w:t>
      </w:r>
      <w:r w:rsidRPr="009A0A74">
        <w:rPr>
          <w:rFonts w:ascii="Times New Roman" w:hAnsi="Times New Roman"/>
        </w:rPr>
        <w:t>’я</w:t>
      </w:r>
      <w:r w:rsidRPr="009A0A74">
        <w:rPr>
          <w:rFonts w:ascii="Times New Roman" w:hAnsi="Times New Roman"/>
          <w:color w:val="000000"/>
        </w:rPr>
        <w:t>.</w:t>
      </w:r>
    </w:p>
    <w:p w:rsidR="005E7093" w:rsidRDefault="005E7093"/>
    <w:sectPr w:rsidR="005E709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22E6"/>
    <w:multiLevelType w:val="hybridMultilevel"/>
    <w:tmpl w:val="FF448FBE"/>
    <w:lvl w:ilvl="0" w:tplc="04220019">
      <w:start w:val="1"/>
      <w:numFmt w:val="lowerLetter"/>
      <w:lvlText w:val="%1."/>
      <w:lvlJc w:val="left"/>
      <w:pPr>
        <w:ind w:left="720" w:hanging="360"/>
      </w:pPr>
    </w:lvl>
    <w:lvl w:ilvl="1" w:tplc="F0A4533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086550"/>
    <w:multiLevelType w:val="hybridMultilevel"/>
    <w:tmpl w:val="2916B934"/>
    <w:lvl w:ilvl="0" w:tplc="04220019">
      <w:start w:val="1"/>
      <w:numFmt w:val="lowerLetter"/>
      <w:lvlText w:val="%1."/>
      <w:lvlJc w:val="left"/>
      <w:pPr>
        <w:ind w:left="720" w:hanging="360"/>
      </w:pPr>
    </w:lvl>
    <w:lvl w:ilvl="1" w:tplc="18EA2C1E">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A3081E"/>
    <w:multiLevelType w:val="multilevel"/>
    <w:tmpl w:val="ED2676F4"/>
    <w:lvl w:ilvl="0">
      <w:start w:val="1"/>
      <w:numFmt w:val="decimal"/>
      <w:suff w:val="space"/>
      <w:lvlText w:val="%1."/>
      <w:lvlJc w:val="left"/>
      <w:pPr>
        <w:ind w:left="1637" w:hanging="360"/>
      </w:pPr>
      <w:rPr>
        <w:rFonts w:hint="default"/>
        <w:u w:val="none"/>
      </w:rPr>
    </w:lvl>
    <w:lvl w:ilvl="1">
      <w:start w:val="1"/>
      <w:numFmt w:val="lowerLetter"/>
      <w:suff w:val="space"/>
      <w:lvlText w:val="%2."/>
      <w:lvlJc w:val="left"/>
      <w:pPr>
        <w:ind w:left="2357" w:hanging="360"/>
      </w:pPr>
      <w:rPr>
        <w:rFonts w:hint="default"/>
        <w:u w:val="none"/>
      </w:rPr>
    </w:lvl>
    <w:lvl w:ilvl="2">
      <w:start w:val="1"/>
      <w:numFmt w:val="lowerRoman"/>
      <w:lvlText w:val="%3."/>
      <w:lvlJc w:val="left"/>
      <w:pPr>
        <w:ind w:left="3077" w:hanging="360"/>
      </w:pPr>
      <w:rPr>
        <w:rFonts w:hint="default"/>
        <w:u w:val="none"/>
      </w:rPr>
    </w:lvl>
    <w:lvl w:ilvl="3">
      <w:start w:val="1"/>
      <w:numFmt w:val="decimal"/>
      <w:suff w:val="space"/>
      <w:lvlText w:val="%4."/>
      <w:lvlJc w:val="left"/>
      <w:pPr>
        <w:ind w:left="6664" w:hanging="360"/>
      </w:pPr>
      <w:rPr>
        <w:rFonts w:hint="default"/>
        <w:u w:val="none"/>
      </w:rPr>
    </w:lvl>
    <w:lvl w:ilvl="4">
      <w:start w:val="1"/>
      <w:numFmt w:val="lowerLetter"/>
      <w:lvlText w:val="%5."/>
      <w:lvlJc w:val="left"/>
      <w:pPr>
        <w:ind w:left="4517" w:hanging="360"/>
      </w:pPr>
      <w:rPr>
        <w:rFonts w:hint="default"/>
        <w:u w:val="none"/>
      </w:rPr>
    </w:lvl>
    <w:lvl w:ilvl="5">
      <w:start w:val="1"/>
      <w:numFmt w:val="lowerRoman"/>
      <w:lvlText w:val="%6."/>
      <w:lvlJc w:val="left"/>
      <w:pPr>
        <w:ind w:left="5237" w:hanging="360"/>
      </w:pPr>
      <w:rPr>
        <w:rFonts w:hint="default"/>
        <w:u w:val="none"/>
      </w:rPr>
    </w:lvl>
    <w:lvl w:ilvl="6">
      <w:start w:val="1"/>
      <w:numFmt w:val="decimal"/>
      <w:lvlText w:val="%7."/>
      <w:lvlJc w:val="left"/>
      <w:pPr>
        <w:ind w:left="5957" w:hanging="360"/>
      </w:pPr>
      <w:rPr>
        <w:rFonts w:hint="default"/>
        <w:u w:val="none"/>
      </w:rPr>
    </w:lvl>
    <w:lvl w:ilvl="7">
      <w:start w:val="1"/>
      <w:numFmt w:val="lowerLetter"/>
      <w:lvlText w:val="%8."/>
      <w:lvlJc w:val="left"/>
      <w:pPr>
        <w:ind w:left="6677" w:hanging="360"/>
      </w:pPr>
      <w:rPr>
        <w:rFonts w:hint="default"/>
        <w:u w:val="none"/>
      </w:rPr>
    </w:lvl>
    <w:lvl w:ilvl="8">
      <w:start w:val="1"/>
      <w:numFmt w:val="lowerRoman"/>
      <w:lvlText w:val="%9."/>
      <w:lvlJc w:val="left"/>
      <w:pPr>
        <w:ind w:left="7397" w:hanging="360"/>
      </w:pPr>
      <w:rPr>
        <w:rFonts w:hint="default"/>
        <w:u w:val="none"/>
      </w:rPr>
    </w:lvl>
  </w:abstractNum>
  <w:abstractNum w:abstractNumId="3" w15:restartNumberingAfterBreak="0">
    <w:nsid w:val="33BC6C56"/>
    <w:multiLevelType w:val="hybridMultilevel"/>
    <w:tmpl w:val="373ECE8C"/>
    <w:lvl w:ilvl="0" w:tplc="04220019">
      <w:start w:val="1"/>
      <w:numFmt w:val="lowerLetter"/>
      <w:lvlText w:val="%1."/>
      <w:lvlJc w:val="left"/>
      <w:pPr>
        <w:ind w:left="720" w:hanging="360"/>
      </w:pPr>
      <w:rPr>
        <w:rFonts w:cs="Times New Roman"/>
      </w:rPr>
    </w:lvl>
    <w:lvl w:ilvl="1" w:tplc="D31C6F2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85422D0"/>
    <w:multiLevelType w:val="multilevel"/>
    <w:tmpl w:val="6B447E38"/>
    <w:lvl w:ilvl="0">
      <w:start w:val="1"/>
      <w:numFmt w:val="decimal"/>
      <w:suff w:val="space"/>
      <w:lvlText w:val="%1."/>
      <w:lvlJc w:val="left"/>
      <w:pPr>
        <w:ind w:left="1495" w:hanging="360"/>
      </w:pPr>
      <w:rPr>
        <w:rFonts w:hint="default"/>
        <w:u w:val="none"/>
      </w:rPr>
    </w:lvl>
    <w:lvl w:ilvl="1">
      <w:start w:val="1"/>
      <w:numFmt w:val="lowerLetter"/>
      <w:lvlText w:val="%2."/>
      <w:lvlJc w:val="left"/>
      <w:pPr>
        <w:ind w:left="2215" w:hanging="360"/>
      </w:pPr>
      <w:rPr>
        <w:rFonts w:hint="default"/>
        <w:u w:val="none"/>
      </w:rPr>
    </w:lvl>
    <w:lvl w:ilvl="2">
      <w:start w:val="1"/>
      <w:numFmt w:val="lowerRoman"/>
      <w:lvlText w:val="%3."/>
      <w:lvlJc w:val="right"/>
      <w:pPr>
        <w:ind w:left="2935" w:hanging="360"/>
      </w:pPr>
      <w:rPr>
        <w:rFonts w:hint="default"/>
        <w:u w:val="none"/>
      </w:rPr>
    </w:lvl>
    <w:lvl w:ilvl="3">
      <w:start w:val="1"/>
      <w:numFmt w:val="decimal"/>
      <w:suff w:val="space"/>
      <w:lvlText w:val="%4."/>
      <w:lvlJc w:val="left"/>
      <w:pPr>
        <w:ind w:left="3655" w:hanging="360"/>
      </w:pPr>
      <w:rPr>
        <w:rFonts w:hint="default"/>
        <w:u w:val="none"/>
      </w:rPr>
    </w:lvl>
    <w:lvl w:ilvl="4">
      <w:start w:val="1"/>
      <w:numFmt w:val="lowerLetter"/>
      <w:lvlText w:val="%5."/>
      <w:lvlJc w:val="left"/>
      <w:pPr>
        <w:ind w:left="4375" w:hanging="360"/>
      </w:pPr>
      <w:rPr>
        <w:rFonts w:hint="default"/>
        <w:u w:val="none"/>
      </w:rPr>
    </w:lvl>
    <w:lvl w:ilvl="5">
      <w:start w:val="1"/>
      <w:numFmt w:val="lowerRoman"/>
      <w:lvlText w:val="%6."/>
      <w:lvlJc w:val="right"/>
      <w:pPr>
        <w:ind w:left="5095" w:hanging="360"/>
      </w:pPr>
      <w:rPr>
        <w:rFonts w:hint="default"/>
        <w:u w:val="none"/>
      </w:rPr>
    </w:lvl>
    <w:lvl w:ilvl="6">
      <w:start w:val="1"/>
      <w:numFmt w:val="decimal"/>
      <w:lvlText w:val="%7."/>
      <w:lvlJc w:val="left"/>
      <w:pPr>
        <w:ind w:left="5815" w:hanging="360"/>
      </w:pPr>
      <w:rPr>
        <w:rFonts w:hint="default"/>
        <w:u w:val="none"/>
      </w:rPr>
    </w:lvl>
    <w:lvl w:ilvl="7">
      <w:start w:val="1"/>
      <w:numFmt w:val="lowerLetter"/>
      <w:lvlText w:val="%8."/>
      <w:lvlJc w:val="left"/>
      <w:pPr>
        <w:ind w:left="6535" w:hanging="360"/>
      </w:pPr>
      <w:rPr>
        <w:rFonts w:hint="default"/>
        <w:u w:val="none"/>
      </w:rPr>
    </w:lvl>
    <w:lvl w:ilvl="8">
      <w:start w:val="1"/>
      <w:numFmt w:val="lowerRoman"/>
      <w:lvlText w:val="%9."/>
      <w:lvlJc w:val="right"/>
      <w:pPr>
        <w:ind w:left="7255" w:hanging="360"/>
      </w:pPr>
      <w:rPr>
        <w:rFonts w:hint="default"/>
        <w:u w:val="none"/>
      </w:rPr>
    </w:lvl>
  </w:abstractNum>
  <w:abstractNum w:abstractNumId="5" w15:restartNumberingAfterBreak="0">
    <w:nsid w:val="576C1461"/>
    <w:multiLevelType w:val="multilevel"/>
    <w:tmpl w:val="B1D02366"/>
    <w:lvl w:ilvl="0">
      <w:start w:val="1"/>
      <w:numFmt w:val="decimal"/>
      <w:suff w:val="space"/>
      <w:lvlText w:val="%1."/>
      <w:lvlJc w:val="left"/>
      <w:pPr>
        <w:ind w:left="720" w:hanging="360"/>
      </w:pPr>
      <w:rPr>
        <w:rFonts w:ascii="Times New Roman" w:eastAsia="Times New Roman" w:hAnsi="Times New Roman" w:cs="Times New Roman"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num w:numId="1">
    <w:abstractNumId w:val="5"/>
  </w:num>
  <w:num w:numId="2">
    <w:abstractNumId w:val="2"/>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9F7"/>
    <w:rsid w:val="005E7093"/>
    <w:rsid w:val="00CC39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0C5F0-DBFF-41F2-A235-ABBF792A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39F7"/>
    <w:pPr>
      <w:spacing w:after="0" w:line="276" w:lineRule="auto"/>
    </w:pPr>
    <w:rPr>
      <w:rFonts w:ascii="Arial" w:eastAsia="Times New Roman" w:hAnsi="Arial" w:cs="Times New Roman"/>
      <w:lang w:val="uk" w:eastAsia="uk-UA"/>
    </w:rPr>
  </w:style>
  <w:style w:type="paragraph" w:styleId="1">
    <w:name w:val="heading 1"/>
    <w:basedOn w:val="a"/>
    <w:next w:val="a"/>
    <w:link w:val="10"/>
    <w:uiPriority w:val="9"/>
    <w:qFormat/>
    <w:rsid w:val="00CC39F7"/>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CC39F7"/>
    <w:pPr>
      <w:keepNext/>
      <w:keepLines/>
      <w:spacing w:before="360" w:after="120"/>
      <w:outlineLvl w:val="1"/>
    </w:pPr>
    <w:rPr>
      <w:sz w:val="32"/>
      <w:szCs w:val="32"/>
    </w:rPr>
  </w:style>
  <w:style w:type="paragraph" w:styleId="3">
    <w:name w:val="heading 3"/>
    <w:basedOn w:val="a"/>
    <w:next w:val="a"/>
    <w:link w:val="30"/>
    <w:uiPriority w:val="9"/>
    <w:semiHidden/>
    <w:unhideWhenUsed/>
    <w:qFormat/>
    <w:rsid w:val="00CC39F7"/>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rsid w:val="00CC39F7"/>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rsid w:val="00CC39F7"/>
    <w:pPr>
      <w:keepNext/>
      <w:keepLines/>
      <w:spacing w:before="240" w:after="80"/>
      <w:outlineLvl w:val="4"/>
    </w:pPr>
    <w:rPr>
      <w:color w:val="666666"/>
    </w:rPr>
  </w:style>
  <w:style w:type="paragraph" w:styleId="6">
    <w:name w:val="heading 6"/>
    <w:basedOn w:val="a"/>
    <w:next w:val="a"/>
    <w:link w:val="60"/>
    <w:uiPriority w:val="9"/>
    <w:semiHidden/>
    <w:unhideWhenUsed/>
    <w:qFormat/>
    <w:rsid w:val="00CC39F7"/>
    <w:pPr>
      <w:keepNext/>
      <w:keepLines/>
      <w:spacing w:before="240" w:after="80"/>
      <w:outlineLvl w:val="5"/>
    </w:pPr>
    <w:rPr>
      <w:i/>
      <w:color w:val="666666"/>
    </w:rPr>
  </w:style>
  <w:style w:type="paragraph" w:styleId="7">
    <w:name w:val="heading 7"/>
    <w:basedOn w:val="a"/>
    <w:next w:val="a"/>
    <w:link w:val="70"/>
    <w:semiHidden/>
    <w:qFormat/>
    <w:rsid w:val="00CC39F7"/>
    <w:pPr>
      <w:keepNext/>
      <w:keepLines/>
      <w:spacing w:before="40" w:line="278" w:lineRule="auto"/>
      <w:outlineLvl w:val="6"/>
    </w:pPr>
    <w:rPr>
      <w:color w:val="595959" w:themeColor="text1" w:themeTint="A6"/>
      <w:kern w:val="2"/>
      <w:sz w:val="24"/>
      <w:szCs w:val="24"/>
      <w:lang w:val="uk-UA" w:eastAsia="en-US"/>
    </w:rPr>
  </w:style>
  <w:style w:type="paragraph" w:styleId="8">
    <w:name w:val="heading 8"/>
    <w:basedOn w:val="a"/>
    <w:next w:val="a"/>
    <w:link w:val="80"/>
    <w:semiHidden/>
    <w:qFormat/>
    <w:rsid w:val="00CC39F7"/>
    <w:pPr>
      <w:keepNext/>
      <w:keepLines/>
      <w:spacing w:line="278" w:lineRule="auto"/>
      <w:outlineLvl w:val="7"/>
    </w:pPr>
    <w:rPr>
      <w:i/>
      <w:iCs/>
      <w:color w:val="272727" w:themeColor="text1" w:themeTint="D8"/>
      <w:kern w:val="2"/>
      <w:sz w:val="24"/>
      <w:szCs w:val="24"/>
      <w:lang w:val="uk-UA" w:eastAsia="en-US"/>
    </w:rPr>
  </w:style>
  <w:style w:type="paragraph" w:styleId="9">
    <w:name w:val="heading 9"/>
    <w:basedOn w:val="a"/>
    <w:next w:val="a"/>
    <w:link w:val="90"/>
    <w:semiHidden/>
    <w:qFormat/>
    <w:rsid w:val="00CC39F7"/>
    <w:pPr>
      <w:keepNext/>
      <w:keepLines/>
      <w:spacing w:line="278" w:lineRule="auto"/>
      <w:outlineLvl w:val="8"/>
    </w:pPr>
    <w:rPr>
      <w:color w:val="272727" w:themeColor="text1" w:themeTint="D8"/>
      <w:kern w:val="2"/>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39F7"/>
    <w:rPr>
      <w:rFonts w:ascii="Arial" w:eastAsia="Times New Roman" w:hAnsi="Arial" w:cs="Times New Roman"/>
      <w:sz w:val="40"/>
      <w:szCs w:val="40"/>
      <w:lang w:val="uk" w:eastAsia="uk-UA"/>
    </w:rPr>
  </w:style>
  <w:style w:type="character" w:customStyle="1" w:styleId="20">
    <w:name w:val="Заголовок 2 Знак"/>
    <w:basedOn w:val="a0"/>
    <w:link w:val="2"/>
    <w:uiPriority w:val="9"/>
    <w:semiHidden/>
    <w:rsid w:val="00CC39F7"/>
    <w:rPr>
      <w:rFonts w:ascii="Arial" w:eastAsia="Times New Roman" w:hAnsi="Arial" w:cs="Times New Roman"/>
      <w:sz w:val="32"/>
      <w:szCs w:val="32"/>
      <w:lang w:val="uk" w:eastAsia="uk-UA"/>
    </w:rPr>
  </w:style>
  <w:style w:type="character" w:customStyle="1" w:styleId="30">
    <w:name w:val="Заголовок 3 Знак"/>
    <w:basedOn w:val="a0"/>
    <w:link w:val="3"/>
    <w:uiPriority w:val="9"/>
    <w:semiHidden/>
    <w:rsid w:val="00CC39F7"/>
    <w:rPr>
      <w:rFonts w:ascii="Arial" w:eastAsia="Times New Roman" w:hAnsi="Arial" w:cs="Times New Roman"/>
      <w:color w:val="434343"/>
      <w:sz w:val="28"/>
      <w:szCs w:val="28"/>
      <w:lang w:val="uk" w:eastAsia="uk-UA"/>
    </w:rPr>
  </w:style>
  <w:style w:type="character" w:customStyle="1" w:styleId="40">
    <w:name w:val="Заголовок 4 Знак"/>
    <w:basedOn w:val="a0"/>
    <w:link w:val="4"/>
    <w:uiPriority w:val="9"/>
    <w:semiHidden/>
    <w:rsid w:val="00CC39F7"/>
    <w:rPr>
      <w:rFonts w:ascii="Arial" w:eastAsia="Times New Roman" w:hAnsi="Arial" w:cs="Times New Roman"/>
      <w:color w:val="666666"/>
      <w:sz w:val="24"/>
      <w:szCs w:val="24"/>
      <w:lang w:val="uk" w:eastAsia="uk-UA"/>
    </w:rPr>
  </w:style>
  <w:style w:type="character" w:customStyle="1" w:styleId="50">
    <w:name w:val="Заголовок 5 Знак"/>
    <w:basedOn w:val="a0"/>
    <w:link w:val="5"/>
    <w:uiPriority w:val="9"/>
    <w:semiHidden/>
    <w:rsid w:val="00CC39F7"/>
    <w:rPr>
      <w:rFonts w:ascii="Arial" w:eastAsia="Times New Roman" w:hAnsi="Arial" w:cs="Times New Roman"/>
      <w:color w:val="666666"/>
      <w:lang w:val="uk" w:eastAsia="uk-UA"/>
    </w:rPr>
  </w:style>
  <w:style w:type="character" w:customStyle="1" w:styleId="60">
    <w:name w:val="Заголовок 6 Знак"/>
    <w:basedOn w:val="a0"/>
    <w:link w:val="6"/>
    <w:uiPriority w:val="9"/>
    <w:semiHidden/>
    <w:rsid w:val="00CC39F7"/>
    <w:rPr>
      <w:rFonts w:ascii="Arial" w:eastAsia="Times New Roman" w:hAnsi="Arial" w:cs="Times New Roman"/>
      <w:i/>
      <w:color w:val="666666"/>
      <w:lang w:val="uk" w:eastAsia="uk-UA"/>
    </w:rPr>
  </w:style>
  <w:style w:type="character" w:customStyle="1" w:styleId="70">
    <w:name w:val="Заголовок 7 Знак"/>
    <w:basedOn w:val="a0"/>
    <w:link w:val="7"/>
    <w:semiHidden/>
    <w:rsid w:val="00CC39F7"/>
    <w:rPr>
      <w:rFonts w:ascii="Arial" w:eastAsia="Times New Roman" w:hAnsi="Arial" w:cs="Times New Roman"/>
      <w:color w:val="595959" w:themeColor="text1" w:themeTint="A6"/>
      <w:kern w:val="2"/>
      <w:sz w:val="24"/>
      <w:szCs w:val="24"/>
    </w:rPr>
  </w:style>
  <w:style w:type="character" w:customStyle="1" w:styleId="80">
    <w:name w:val="Заголовок 8 Знак"/>
    <w:basedOn w:val="a0"/>
    <w:link w:val="8"/>
    <w:semiHidden/>
    <w:rsid w:val="00CC39F7"/>
    <w:rPr>
      <w:rFonts w:ascii="Arial" w:eastAsia="Times New Roman" w:hAnsi="Arial" w:cs="Times New Roman"/>
      <w:i/>
      <w:iCs/>
      <w:color w:val="272727" w:themeColor="text1" w:themeTint="D8"/>
      <w:kern w:val="2"/>
      <w:sz w:val="24"/>
      <w:szCs w:val="24"/>
    </w:rPr>
  </w:style>
  <w:style w:type="character" w:customStyle="1" w:styleId="90">
    <w:name w:val="Заголовок 9 Знак"/>
    <w:basedOn w:val="a0"/>
    <w:link w:val="9"/>
    <w:semiHidden/>
    <w:rsid w:val="00CC39F7"/>
    <w:rPr>
      <w:rFonts w:ascii="Arial" w:eastAsia="Times New Roman" w:hAnsi="Arial" w:cs="Times New Roman"/>
      <w:color w:val="272727" w:themeColor="text1" w:themeTint="D8"/>
      <w:kern w:val="2"/>
      <w:sz w:val="24"/>
      <w:szCs w:val="24"/>
    </w:rPr>
  </w:style>
  <w:style w:type="paragraph" w:styleId="a3">
    <w:name w:val="Title"/>
    <w:basedOn w:val="a"/>
    <w:next w:val="a"/>
    <w:link w:val="a4"/>
    <w:uiPriority w:val="10"/>
    <w:qFormat/>
    <w:rsid w:val="00CC39F7"/>
    <w:pPr>
      <w:keepNext/>
      <w:keepLines/>
      <w:spacing w:after="60"/>
    </w:pPr>
    <w:rPr>
      <w:sz w:val="52"/>
      <w:szCs w:val="52"/>
    </w:rPr>
  </w:style>
  <w:style w:type="character" w:customStyle="1" w:styleId="a4">
    <w:name w:val="Назва Знак"/>
    <w:basedOn w:val="a0"/>
    <w:link w:val="a3"/>
    <w:uiPriority w:val="10"/>
    <w:rsid w:val="00CC39F7"/>
    <w:rPr>
      <w:rFonts w:ascii="Arial" w:eastAsia="Times New Roman" w:hAnsi="Arial" w:cs="Times New Roman"/>
      <w:sz w:val="52"/>
      <w:szCs w:val="52"/>
      <w:lang w:val="uk" w:eastAsia="uk-UA"/>
    </w:rPr>
  </w:style>
  <w:style w:type="paragraph" w:styleId="a5">
    <w:name w:val="Subtitle"/>
    <w:basedOn w:val="a"/>
    <w:next w:val="a"/>
    <w:link w:val="a6"/>
    <w:uiPriority w:val="11"/>
    <w:qFormat/>
    <w:rsid w:val="00CC39F7"/>
    <w:pPr>
      <w:keepNext/>
      <w:keepLines/>
      <w:spacing w:after="320"/>
    </w:pPr>
    <w:rPr>
      <w:color w:val="666666"/>
      <w:sz w:val="30"/>
      <w:szCs w:val="30"/>
    </w:rPr>
  </w:style>
  <w:style w:type="character" w:customStyle="1" w:styleId="a6">
    <w:name w:val="Підзаголовок Знак"/>
    <w:basedOn w:val="a0"/>
    <w:link w:val="a5"/>
    <w:uiPriority w:val="11"/>
    <w:rsid w:val="00CC39F7"/>
    <w:rPr>
      <w:rFonts w:ascii="Arial" w:eastAsia="Times New Roman" w:hAnsi="Arial" w:cs="Times New Roman"/>
      <w:color w:val="666666"/>
      <w:sz w:val="30"/>
      <w:szCs w:val="30"/>
      <w:lang w:val="uk" w:eastAsia="uk-UA"/>
    </w:rPr>
  </w:style>
  <w:style w:type="paragraph" w:styleId="a7">
    <w:name w:val="footnote text"/>
    <w:link w:val="a8"/>
    <w:semiHidden/>
    <w:rsid w:val="00CC39F7"/>
    <w:pPr>
      <w:spacing w:after="0" w:line="240" w:lineRule="auto"/>
    </w:pPr>
    <w:rPr>
      <w:rFonts w:ascii="Arial" w:eastAsia="Times New Roman" w:hAnsi="Arial" w:cs="Times New Roman"/>
      <w:sz w:val="20"/>
      <w:szCs w:val="20"/>
      <w:lang w:val="uk" w:eastAsia="uk-UA"/>
    </w:rPr>
  </w:style>
  <w:style w:type="character" w:customStyle="1" w:styleId="a8">
    <w:name w:val="Текст виноски Знак"/>
    <w:basedOn w:val="a0"/>
    <w:link w:val="a7"/>
    <w:semiHidden/>
    <w:rsid w:val="00CC39F7"/>
    <w:rPr>
      <w:rFonts w:ascii="Arial" w:eastAsia="Times New Roman" w:hAnsi="Arial" w:cs="Times New Roman"/>
      <w:sz w:val="20"/>
      <w:szCs w:val="20"/>
      <w:lang w:val="uk" w:eastAsia="uk-UA"/>
    </w:rPr>
  </w:style>
  <w:style w:type="paragraph" w:styleId="a9">
    <w:name w:val="endnote text"/>
    <w:link w:val="aa"/>
    <w:semiHidden/>
    <w:rsid w:val="00CC39F7"/>
    <w:pPr>
      <w:spacing w:after="0" w:line="240" w:lineRule="auto"/>
    </w:pPr>
    <w:rPr>
      <w:rFonts w:ascii="Arial" w:eastAsia="Times New Roman" w:hAnsi="Arial" w:cs="Times New Roman"/>
      <w:sz w:val="20"/>
      <w:szCs w:val="20"/>
      <w:lang w:val="uk" w:eastAsia="uk-UA"/>
    </w:rPr>
  </w:style>
  <w:style w:type="character" w:customStyle="1" w:styleId="aa">
    <w:name w:val="Текст кінцевої виноски Знак"/>
    <w:basedOn w:val="a0"/>
    <w:link w:val="a9"/>
    <w:semiHidden/>
    <w:rsid w:val="00CC39F7"/>
    <w:rPr>
      <w:rFonts w:ascii="Arial" w:eastAsia="Times New Roman" w:hAnsi="Arial" w:cs="Times New Roman"/>
      <w:sz w:val="20"/>
      <w:szCs w:val="20"/>
      <w:lang w:val="uk" w:eastAsia="uk-UA"/>
    </w:rPr>
  </w:style>
  <w:style w:type="paragraph" w:styleId="ab">
    <w:name w:val="List Paragraph"/>
    <w:basedOn w:val="a"/>
    <w:qFormat/>
    <w:rsid w:val="00CC39F7"/>
    <w:pPr>
      <w:spacing w:after="160" w:line="278" w:lineRule="auto"/>
      <w:ind w:left="720"/>
      <w:contextualSpacing/>
    </w:pPr>
    <w:rPr>
      <w:kern w:val="2"/>
      <w:sz w:val="24"/>
      <w:szCs w:val="24"/>
      <w:lang w:val="uk-UA" w:eastAsia="en-US"/>
    </w:rPr>
  </w:style>
  <w:style w:type="paragraph" w:styleId="ac">
    <w:name w:val="Quote"/>
    <w:basedOn w:val="a"/>
    <w:next w:val="a"/>
    <w:link w:val="ad"/>
    <w:qFormat/>
    <w:rsid w:val="00CC39F7"/>
    <w:pPr>
      <w:spacing w:before="160" w:after="160" w:line="278" w:lineRule="auto"/>
      <w:jc w:val="center"/>
    </w:pPr>
    <w:rPr>
      <w:i/>
      <w:iCs/>
      <w:color w:val="404040" w:themeColor="text1" w:themeTint="BF"/>
      <w:kern w:val="2"/>
      <w:sz w:val="24"/>
      <w:szCs w:val="24"/>
      <w:lang w:val="uk-UA" w:eastAsia="en-US"/>
    </w:rPr>
  </w:style>
  <w:style w:type="character" w:customStyle="1" w:styleId="ad">
    <w:name w:val="Цитата Знак"/>
    <w:basedOn w:val="a0"/>
    <w:link w:val="ac"/>
    <w:rsid w:val="00CC39F7"/>
    <w:rPr>
      <w:rFonts w:ascii="Arial" w:eastAsia="Times New Roman" w:hAnsi="Arial" w:cs="Times New Roman"/>
      <w:i/>
      <w:iCs/>
      <w:color w:val="404040" w:themeColor="text1" w:themeTint="BF"/>
      <w:kern w:val="2"/>
      <w:sz w:val="24"/>
      <w:szCs w:val="24"/>
    </w:rPr>
  </w:style>
  <w:style w:type="paragraph" w:styleId="ae">
    <w:name w:val="Intense Quote"/>
    <w:basedOn w:val="a"/>
    <w:next w:val="a"/>
    <w:link w:val="af"/>
    <w:qFormat/>
    <w:rsid w:val="00CC39F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uk-UA" w:eastAsia="en-US"/>
    </w:rPr>
  </w:style>
  <w:style w:type="character" w:customStyle="1" w:styleId="af">
    <w:name w:val="Насичена цитата Знак"/>
    <w:basedOn w:val="a0"/>
    <w:link w:val="ae"/>
    <w:rsid w:val="00CC39F7"/>
    <w:rPr>
      <w:rFonts w:ascii="Arial" w:eastAsia="Times New Roman" w:hAnsi="Arial" w:cs="Times New Roman"/>
      <w:i/>
      <w:iCs/>
      <w:color w:val="2F5496" w:themeColor="accent1" w:themeShade="BF"/>
      <w:kern w:val="2"/>
      <w:sz w:val="24"/>
      <w:szCs w:val="24"/>
    </w:rPr>
  </w:style>
  <w:style w:type="paragraph" w:customStyle="1" w:styleId="msonormal0">
    <w:name w:val="msonormal"/>
    <w:basedOn w:val="a"/>
    <w:rsid w:val="00CC39F7"/>
    <w:pPr>
      <w:spacing w:before="100" w:beforeAutospacing="1" w:after="100" w:afterAutospacing="1" w:line="240" w:lineRule="auto"/>
    </w:pPr>
    <w:rPr>
      <w:rFonts w:ascii="Times New Roman" w:hAnsi="Times New Roman"/>
      <w:sz w:val="24"/>
      <w:szCs w:val="24"/>
      <w:lang w:val="uk-UA"/>
    </w:rPr>
  </w:style>
  <w:style w:type="paragraph" w:styleId="af0">
    <w:name w:val="Normal (Web)"/>
    <w:basedOn w:val="a"/>
    <w:uiPriority w:val="99"/>
    <w:rsid w:val="00CC39F7"/>
    <w:pPr>
      <w:spacing w:before="100" w:beforeAutospacing="1" w:after="100" w:afterAutospacing="1" w:line="240" w:lineRule="auto"/>
    </w:pPr>
    <w:rPr>
      <w:rFonts w:ascii="Times New Roman" w:hAnsi="Times New Roman"/>
      <w:sz w:val="24"/>
      <w:szCs w:val="24"/>
      <w:lang w:val="uk-UA"/>
    </w:rPr>
  </w:style>
  <w:style w:type="paragraph" w:styleId="af1">
    <w:name w:val="annotation text"/>
    <w:basedOn w:val="a"/>
    <w:link w:val="af2"/>
    <w:rsid w:val="00CC39F7"/>
    <w:pPr>
      <w:spacing w:after="160" w:line="240" w:lineRule="auto"/>
    </w:pPr>
    <w:rPr>
      <w:kern w:val="2"/>
      <w:sz w:val="20"/>
      <w:szCs w:val="20"/>
      <w:lang w:val="uk-UA" w:eastAsia="en-US"/>
    </w:rPr>
  </w:style>
  <w:style w:type="character" w:customStyle="1" w:styleId="af2">
    <w:name w:val="Текст примітки Знак"/>
    <w:basedOn w:val="a0"/>
    <w:link w:val="af1"/>
    <w:rsid w:val="00CC39F7"/>
    <w:rPr>
      <w:rFonts w:ascii="Arial" w:eastAsia="Times New Roman" w:hAnsi="Arial" w:cs="Times New Roman"/>
      <w:kern w:val="2"/>
      <w:sz w:val="20"/>
      <w:szCs w:val="20"/>
    </w:rPr>
  </w:style>
  <w:style w:type="paragraph" w:styleId="af3">
    <w:name w:val="annotation subject"/>
    <w:basedOn w:val="af1"/>
    <w:next w:val="af1"/>
    <w:link w:val="af4"/>
    <w:semiHidden/>
    <w:rsid w:val="00CC39F7"/>
    <w:rPr>
      <w:b/>
      <w:bCs/>
    </w:rPr>
  </w:style>
  <w:style w:type="character" w:customStyle="1" w:styleId="af4">
    <w:name w:val="Тема примітки Знак"/>
    <w:basedOn w:val="af2"/>
    <w:link w:val="af3"/>
    <w:semiHidden/>
    <w:rsid w:val="00CC39F7"/>
    <w:rPr>
      <w:rFonts w:ascii="Arial" w:eastAsia="Times New Roman" w:hAnsi="Arial" w:cs="Times New Roman"/>
      <w:b/>
      <w:bCs/>
      <w:kern w:val="2"/>
      <w:sz w:val="20"/>
      <w:szCs w:val="20"/>
    </w:rPr>
  </w:style>
  <w:style w:type="character" w:styleId="af5">
    <w:name w:val="line number"/>
    <w:basedOn w:val="a0"/>
    <w:semiHidden/>
    <w:rsid w:val="00CC39F7"/>
  </w:style>
  <w:style w:type="character" w:styleId="af6">
    <w:name w:val="Hyperlink"/>
    <w:rsid w:val="00CC39F7"/>
    <w:rPr>
      <w:color w:val="0000FF"/>
      <w:u w:val="single"/>
    </w:rPr>
  </w:style>
  <w:style w:type="character" w:styleId="af7">
    <w:name w:val="footnote reference"/>
    <w:semiHidden/>
    <w:rsid w:val="00CC39F7"/>
    <w:rPr>
      <w:vertAlign w:val="superscript"/>
    </w:rPr>
  </w:style>
  <w:style w:type="character" w:styleId="af8">
    <w:name w:val="endnote reference"/>
    <w:semiHidden/>
    <w:rsid w:val="00CC39F7"/>
    <w:rPr>
      <w:vertAlign w:val="superscript"/>
    </w:rPr>
  </w:style>
  <w:style w:type="character" w:styleId="af9">
    <w:name w:val="Intense Emphasis"/>
    <w:basedOn w:val="a0"/>
    <w:qFormat/>
    <w:rsid w:val="00CC39F7"/>
    <w:rPr>
      <w:i/>
      <w:iCs/>
      <w:color w:val="2F5496" w:themeColor="accent1" w:themeShade="BF"/>
    </w:rPr>
  </w:style>
  <w:style w:type="character" w:styleId="afa">
    <w:name w:val="Intense Reference"/>
    <w:basedOn w:val="a0"/>
    <w:qFormat/>
    <w:rsid w:val="00CC39F7"/>
    <w:rPr>
      <w:b/>
      <w:bCs/>
      <w:smallCaps/>
      <w:color w:val="2F5496" w:themeColor="accent1" w:themeShade="BF"/>
      <w:spacing w:val="5"/>
    </w:rPr>
  </w:style>
  <w:style w:type="character" w:customStyle="1" w:styleId="apple-tab-span">
    <w:name w:val="apple-tab-span"/>
    <w:basedOn w:val="a0"/>
    <w:rsid w:val="00CC39F7"/>
  </w:style>
  <w:style w:type="character" w:styleId="afb">
    <w:name w:val="annotation reference"/>
    <w:basedOn w:val="a0"/>
    <w:semiHidden/>
    <w:rsid w:val="00CC39F7"/>
    <w:rPr>
      <w:sz w:val="16"/>
      <w:szCs w:val="16"/>
    </w:rPr>
  </w:style>
  <w:style w:type="character" w:customStyle="1" w:styleId="FootnoteTextChar">
    <w:name w:val="Footnote Text Char"/>
    <w:semiHidden/>
    <w:rsid w:val="00CC39F7"/>
    <w:rPr>
      <w:sz w:val="20"/>
      <w:szCs w:val="20"/>
    </w:rPr>
  </w:style>
  <w:style w:type="character" w:customStyle="1" w:styleId="EndnoteTextChar">
    <w:name w:val="Endnote Text Char"/>
    <w:semiHidden/>
    <w:rsid w:val="00CC39F7"/>
    <w:rPr>
      <w:sz w:val="20"/>
      <w:szCs w:val="20"/>
    </w:rPr>
  </w:style>
  <w:style w:type="table" w:styleId="11">
    <w:name w:val="Table Simple 1"/>
    <w:basedOn w:val="a1"/>
    <w:rsid w:val="00CC39F7"/>
    <w:pPr>
      <w:spacing w:after="0" w:line="276" w:lineRule="auto"/>
    </w:pPr>
    <w:rPr>
      <w:rFonts w:ascii="Arial" w:eastAsia="Times New Roman" w:hAnsi="Arial" w:cs="Times New Roman"/>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CC39F7"/>
    <w:pPr>
      <w:spacing w:after="0" w:line="276" w:lineRule="auto"/>
    </w:pPr>
    <w:rPr>
      <w:rFonts w:ascii="Arial" w:eastAsia="Times New Roman" w:hAnsi="Arial" w:cs="Times New Roman"/>
      <w:lang w:val="uk" w:eastAsia="uk-UA"/>
    </w:rPr>
    <w:tblPr>
      <w:tblCellMar>
        <w:top w:w="0" w:type="dxa"/>
        <w:left w:w="0" w:type="dxa"/>
        <w:bottom w:w="0" w:type="dxa"/>
        <w:right w:w="0" w:type="dxa"/>
      </w:tblCellMar>
    </w:tblPr>
  </w:style>
  <w:style w:type="table" w:customStyle="1" w:styleId="TableNormal0">
    <w:name w:val="TableNormal"/>
    <w:rsid w:val="00CC39F7"/>
    <w:rPr>
      <w:rFonts w:ascii="Calibri" w:eastAsia="Calibri" w:hAnsi="Calibri" w:cs="Calibri"/>
      <w:lang w:val="uk" w:eastAsia="uk-UA"/>
    </w:rPr>
    <w:tblPr>
      <w:tblCellMar>
        <w:top w:w="100" w:type="dxa"/>
        <w:left w:w="100" w:type="dxa"/>
        <w:bottom w:w="100" w:type="dxa"/>
        <w:right w:w="100" w:type="dxa"/>
      </w:tblCellMar>
    </w:tblPr>
  </w:style>
  <w:style w:type="paragraph" w:customStyle="1" w:styleId="rvps2">
    <w:name w:val="rvps2"/>
    <w:rsid w:val="00CC39F7"/>
    <w:pPr>
      <w:spacing w:before="100" w:beforeAutospacing="1" w:after="100" w:afterAutospacing="1" w:line="240" w:lineRule="auto"/>
    </w:pPr>
    <w:rPr>
      <w:rFonts w:ascii="Times New Roman" w:eastAsia="Calibri" w:hAnsi="Times New Roman" w:cs="Calibri"/>
      <w:sz w:val="24"/>
      <w:szCs w:val="24"/>
      <w:lang w:val="uk" w:eastAsia="uk-UA"/>
    </w:rPr>
  </w:style>
  <w:style w:type="paragraph" w:customStyle="1" w:styleId="TableParagraph">
    <w:name w:val="Table Paragraph"/>
    <w:qFormat/>
    <w:rsid w:val="00CC39F7"/>
    <w:pPr>
      <w:widowControl w:val="0"/>
      <w:spacing w:before="60" w:after="0" w:line="240" w:lineRule="auto"/>
      <w:ind w:left="241"/>
    </w:pPr>
    <w:rPr>
      <w:rFonts w:ascii="Times New Roman" w:eastAsia="Calibri" w:hAnsi="Times New Roman" w:cs="Calibri"/>
      <w:lang w:val="uk"/>
    </w:rPr>
  </w:style>
  <w:style w:type="paragraph" w:styleId="afc">
    <w:name w:val="Balloon Text"/>
    <w:link w:val="afd"/>
    <w:semiHidden/>
    <w:rsid w:val="00CC39F7"/>
    <w:pPr>
      <w:spacing w:after="0" w:line="240" w:lineRule="auto"/>
    </w:pPr>
    <w:rPr>
      <w:rFonts w:ascii="Segoe UI" w:eastAsia="Calibri" w:hAnsi="Segoe UI" w:cs="Calibri"/>
      <w:sz w:val="18"/>
      <w:szCs w:val="18"/>
      <w:lang w:val="uk" w:eastAsia="uk-UA"/>
    </w:rPr>
  </w:style>
  <w:style w:type="character" w:customStyle="1" w:styleId="afd">
    <w:name w:val="Текст у виносці Знак"/>
    <w:basedOn w:val="a0"/>
    <w:link w:val="afc"/>
    <w:semiHidden/>
    <w:rsid w:val="00CC39F7"/>
    <w:rPr>
      <w:rFonts w:ascii="Segoe UI" w:eastAsia="Calibri" w:hAnsi="Segoe UI" w:cs="Calibri"/>
      <w:sz w:val="18"/>
      <w:szCs w:val="18"/>
      <w:lang w:val="uk" w:eastAsia="uk-UA"/>
    </w:rPr>
  </w:style>
  <w:style w:type="character" w:customStyle="1" w:styleId="rvts46">
    <w:name w:val="rvts46"/>
    <w:basedOn w:val="a0"/>
    <w:rsid w:val="00CC39F7"/>
  </w:style>
  <w:style w:type="character" w:customStyle="1" w:styleId="rvts11">
    <w:name w:val="rvts11"/>
    <w:basedOn w:val="a0"/>
    <w:rsid w:val="00CC39F7"/>
  </w:style>
  <w:style w:type="table" w:styleId="afe">
    <w:name w:val="Table Grid"/>
    <w:basedOn w:val="a1"/>
    <w:rsid w:val="00CC39F7"/>
    <w:pPr>
      <w:spacing w:after="0" w:line="240" w:lineRule="auto"/>
    </w:pPr>
    <w:rPr>
      <w:rFonts w:ascii="Calibri" w:eastAsia="Calibri" w:hAnsi="Calibri" w:cs="Calibri"/>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inc.org/14800-7" TargetMode="External"/><Relationship Id="rId13" Type="http://schemas.openxmlformats.org/officeDocument/2006/relationships/hyperlink" Target="https://loinc.org/52973-5" TargetMode="External"/><Relationship Id="rId3" Type="http://schemas.openxmlformats.org/officeDocument/2006/relationships/settings" Target="settings.xml"/><Relationship Id="rId7" Type="http://schemas.openxmlformats.org/officeDocument/2006/relationships/hyperlink" Target="https://loinc.org/14933-6" TargetMode="External"/><Relationship Id="rId12" Type="http://schemas.openxmlformats.org/officeDocument/2006/relationships/hyperlink" Target="https://loinc.org/139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inc.org/46099-8" TargetMode="External"/><Relationship Id="rId11" Type="http://schemas.openxmlformats.org/officeDocument/2006/relationships/hyperlink" Target="https://loinc.org/104263-9" TargetMode="External"/><Relationship Id="rId5" Type="http://schemas.openxmlformats.org/officeDocument/2006/relationships/hyperlink" Target="https://loinc.org/16362-6" TargetMode="External"/><Relationship Id="rId15" Type="http://schemas.openxmlformats.org/officeDocument/2006/relationships/theme" Target="theme/theme1.xml"/><Relationship Id="rId10" Type="http://schemas.openxmlformats.org/officeDocument/2006/relationships/hyperlink" Target="https://loinc.org/38477-6" TargetMode="External"/><Relationship Id="rId4" Type="http://schemas.openxmlformats.org/officeDocument/2006/relationships/webSettings" Target="webSettings.xml"/><Relationship Id="rId9" Type="http://schemas.openxmlformats.org/officeDocument/2006/relationships/hyperlink" Target="https://loinc.org/2399-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101786</Words>
  <Characters>58019</Characters>
  <Application>Microsoft Office Word</Application>
  <DocSecurity>0</DocSecurity>
  <Lines>483</Lines>
  <Paragraphs>318</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159487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2026-02-01T21:01:00Z</dcterms:created>
  <dcterms:modified xsi:type="dcterms:W3CDTF">2026-02-01T21:02:00Z</dcterms:modified>
</cp:coreProperties>
</file>